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2" w:rsidRPr="00CE5547" w:rsidRDefault="00075BA2" w:rsidP="00075BA2">
      <w:pPr>
        <w:jc w:val="both"/>
        <w:rPr>
          <w:rFonts w:asciiTheme="minorHAnsi" w:hAnsiTheme="minorHAnsi"/>
          <w:b/>
          <w:sz w:val="22"/>
          <w:szCs w:val="22"/>
        </w:rPr>
      </w:pPr>
    </w:p>
    <w:p w:rsidR="00075BA2" w:rsidRPr="00CE5547" w:rsidRDefault="00075BA2" w:rsidP="00075BA2">
      <w:pPr>
        <w:jc w:val="both"/>
        <w:rPr>
          <w:rFonts w:asciiTheme="minorHAnsi" w:hAnsiTheme="minorHAnsi"/>
          <w:b/>
          <w:sz w:val="22"/>
          <w:szCs w:val="22"/>
        </w:rPr>
      </w:pPr>
      <w:r w:rsidRPr="00CE5547">
        <w:rPr>
          <w:rFonts w:asciiTheme="minorHAnsi" w:hAnsiTheme="minorHAnsi"/>
          <w:b/>
          <w:sz w:val="22"/>
          <w:szCs w:val="22"/>
        </w:rPr>
        <w:t xml:space="preserve">TITLE: </w:t>
      </w:r>
      <w:r>
        <w:rPr>
          <w:rFonts w:asciiTheme="minorHAnsi" w:eastAsia="Times New Roman" w:hAnsiTheme="minorHAnsi" w:cstheme="minorHAnsi"/>
          <w:bCs/>
          <w:iCs/>
          <w:color w:val="auto"/>
          <w:sz w:val="22"/>
          <w:szCs w:val="22"/>
          <w:lang w:val="en-US"/>
        </w:rPr>
        <w:t>GPSC Incentives</w:t>
      </w:r>
      <w:r w:rsidR="00533B26">
        <w:rPr>
          <w:rFonts w:asciiTheme="minorHAnsi" w:eastAsia="Times New Roman" w:hAnsiTheme="minorHAnsi" w:cstheme="minorHAnsi"/>
          <w:bCs/>
          <w:iCs/>
          <w:color w:val="auto"/>
          <w:sz w:val="22"/>
          <w:szCs w:val="22"/>
          <w:lang w:val="en-US"/>
        </w:rPr>
        <w:t xml:space="preserve"> Briefing Note 3</w:t>
      </w:r>
      <w:r w:rsidR="00EA0CA9">
        <w:rPr>
          <w:rFonts w:asciiTheme="minorHAnsi" w:eastAsia="Times New Roman" w:hAnsiTheme="minorHAnsi" w:cstheme="minorHAnsi"/>
          <w:bCs/>
          <w:iCs/>
          <w:color w:val="auto"/>
          <w:sz w:val="22"/>
          <w:szCs w:val="22"/>
          <w:lang w:val="en-US"/>
        </w:rPr>
        <w:t>/3</w:t>
      </w:r>
      <w:r>
        <w:rPr>
          <w:rFonts w:asciiTheme="minorHAnsi" w:eastAsia="Times New Roman" w:hAnsiTheme="minorHAnsi" w:cstheme="minorHAnsi"/>
          <w:bCs/>
          <w:iCs/>
          <w:color w:val="auto"/>
          <w:sz w:val="22"/>
          <w:szCs w:val="22"/>
          <w:lang w:val="en-US"/>
        </w:rPr>
        <w:t xml:space="preserve">: </w:t>
      </w:r>
      <w:r w:rsidR="005236D3">
        <w:rPr>
          <w:rFonts w:asciiTheme="minorHAnsi" w:eastAsia="Times New Roman" w:hAnsiTheme="minorHAnsi" w:cstheme="minorHAnsi"/>
          <w:bCs/>
          <w:iCs/>
          <w:color w:val="auto"/>
          <w:sz w:val="22"/>
          <w:szCs w:val="22"/>
          <w:lang w:val="en-US"/>
        </w:rPr>
        <w:t>Update on incentive proposals in progress</w:t>
      </w:r>
    </w:p>
    <w:p w:rsidR="00075BA2" w:rsidRPr="00CE5547" w:rsidRDefault="00075BA2" w:rsidP="00075BA2">
      <w:pPr>
        <w:jc w:val="both"/>
        <w:rPr>
          <w:rFonts w:asciiTheme="minorHAnsi" w:hAnsiTheme="minorHAnsi"/>
          <w:b/>
          <w:sz w:val="22"/>
          <w:szCs w:val="22"/>
        </w:rPr>
      </w:pPr>
    </w:p>
    <w:p w:rsidR="00075BA2" w:rsidRPr="00CE5547" w:rsidRDefault="00075BA2" w:rsidP="00075BA2">
      <w:pPr>
        <w:pStyle w:val="BriefingNotes"/>
        <w:tabs>
          <w:tab w:val="right" w:pos="9360"/>
        </w:tabs>
        <w:jc w:val="both"/>
        <w:rPr>
          <w:rFonts w:asciiTheme="minorHAnsi" w:hAnsiTheme="minorHAnsi"/>
          <w:b/>
          <w:bCs/>
          <w:noProof w:val="0"/>
          <w:sz w:val="22"/>
          <w:szCs w:val="22"/>
        </w:rPr>
      </w:pPr>
      <w:r w:rsidRPr="00CE5547">
        <w:rPr>
          <w:rFonts w:asciiTheme="minorHAnsi" w:hAnsiTheme="minorHAnsi"/>
          <w:b/>
          <w:bCs/>
          <w:noProof w:val="0"/>
          <w:sz w:val="22"/>
          <w:szCs w:val="22"/>
        </w:rPr>
        <w:t xml:space="preserve">DATE: </w:t>
      </w:r>
      <w:r w:rsidR="001608A9">
        <w:rPr>
          <w:rFonts w:asciiTheme="minorHAnsi" w:hAnsiTheme="minorHAnsi"/>
          <w:bCs/>
          <w:noProof w:val="0"/>
          <w:sz w:val="22"/>
          <w:szCs w:val="22"/>
        </w:rPr>
        <w:t>April 24</w:t>
      </w:r>
      <w:r w:rsidRPr="00CE5547">
        <w:rPr>
          <w:rFonts w:asciiTheme="minorHAnsi" w:hAnsiTheme="minorHAnsi"/>
          <w:bCs/>
          <w:noProof w:val="0"/>
          <w:sz w:val="22"/>
          <w:szCs w:val="22"/>
        </w:rPr>
        <w:t>, 2017</w:t>
      </w:r>
    </w:p>
    <w:p w:rsidR="00075BA2" w:rsidRPr="00CE5547" w:rsidRDefault="00075BA2" w:rsidP="00075BA2">
      <w:pPr>
        <w:rPr>
          <w:rFonts w:asciiTheme="minorHAnsi" w:hAnsiTheme="minorHAnsi"/>
          <w:b/>
          <w:sz w:val="22"/>
          <w:szCs w:val="22"/>
        </w:rPr>
      </w:pPr>
    </w:p>
    <w:p w:rsidR="00075BA2" w:rsidRPr="00CE5547" w:rsidRDefault="00075BA2" w:rsidP="00075BA2">
      <w:pPr>
        <w:pStyle w:val="BriefingNotes"/>
        <w:rPr>
          <w:rFonts w:asciiTheme="minorHAnsi" w:hAnsiTheme="minorHAnsi"/>
          <w:noProof w:val="0"/>
          <w:sz w:val="22"/>
          <w:szCs w:val="22"/>
        </w:rPr>
      </w:pPr>
      <w:r w:rsidRPr="00CE5547">
        <w:rPr>
          <w:rFonts w:asciiTheme="minorHAnsi" w:hAnsiTheme="minorHAnsi"/>
          <w:b/>
          <w:bCs/>
          <w:noProof w:val="0"/>
          <w:sz w:val="22"/>
          <w:szCs w:val="22"/>
        </w:rPr>
        <w:t>PREPARED FOR:</w:t>
      </w:r>
      <w:r>
        <w:rPr>
          <w:rFonts w:asciiTheme="minorHAnsi" w:hAnsiTheme="minorHAnsi"/>
          <w:noProof w:val="0"/>
          <w:sz w:val="22"/>
          <w:szCs w:val="22"/>
        </w:rPr>
        <w:t xml:space="preserve"> </w:t>
      </w:r>
      <w:r w:rsidRPr="00CE5547">
        <w:rPr>
          <w:rFonts w:asciiTheme="minorHAnsi" w:hAnsiTheme="minorHAnsi"/>
          <w:noProof w:val="0"/>
          <w:sz w:val="22"/>
          <w:szCs w:val="22"/>
        </w:rPr>
        <w:t>Gene</w:t>
      </w:r>
      <w:r w:rsidR="001608A9">
        <w:rPr>
          <w:rFonts w:asciiTheme="minorHAnsi" w:hAnsiTheme="minorHAnsi"/>
          <w:noProof w:val="0"/>
          <w:sz w:val="22"/>
          <w:szCs w:val="22"/>
        </w:rPr>
        <w:t>ral Practice Services Committee</w:t>
      </w:r>
    </w:p>
    <w:p w:rsidR="00075BA2" w:rsidRPr="00CE5547" w:rsidRDefault="00075BA2" w:rsidP="00075BA2">
      <w:pPr>
        <w:pStyle w:val="BriefingNotes"/>
        <w:rPr>
          <w:rFonts w:asciiTheme="minorHAnsi" w:hAnsiTheme="minorHAnsi"/>
          <w:b/>
          <w:bCs/>
          <w:noProof w:val="0"/>
          <w:sz w:val="22"/>
          <w:szCs w:val="22"/>
        </w:rPr>
      </w:pPr>
    </w:p>
    <w:tbl>
      <w:tblPr>
        <w:tblStyle w:val="TableGrid"/>
        <w:tblpPr w:leftFromText="180" w:rightFromText="180" w:vertAnchor="text" w:horzAnchor="margin"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950"/>
        <w:gridCol w:w="1080"/>
        <w:gridCol w:w="1728"/>
      </w:tblGrid>
      <w:tr w:rsidR="00075BA2" w:rsidRPr="00CE5547" w:rsidTr="008A0B7A">
        <w:tc>
          <w:tcPr>
            <w:tcW w:w="1818" w:type="dxa"/>
          </w:tcPr>
          <w:p w:rsidR="00075BA2" w:rsidRPr="00CE5547" w:rsidRDefault="00075BA2" w:rsidP="008A0B7A">
            <w:pPr>
              <w:rPr>
                <w:rFonts w:asciiTheme="minorHAnsi" w:eastAsia="Times New Roman" w:hAnsiTheme="minorHAnsi"/>
                <w:color w:val="auto"/>
                <w:sz w:val="22"/>
                <w:szCs w:val="22"/>
              </w:rPr>
            </w:pPr>
            <w:r w:rsidRPr="00CE5547">
              <w:rPr>
                <w:rFonts w:asciiTheme="minorHAnsi" w:hAnsiTheme="minorHAnsi"/>
                <w:b/>
                <w:sz w:val="22"/>
                <w:szCs w:val="22"/>
              </w:rPr>
              <w:t xml:space="preserve">CONTACT NAME:  </w:t>
            </w:r>
          </w:p>
        </w:tc>
        <w:tc>
          <w:tcPr>
            <w:tcW w:w="4950" w:type="dxa"/>
          </w:tcPr>
          <w:p w:rsidR="00075BA2" w:rsidRPr="00CE5547" w:rsidRDefault="00075BA2" w:rsidP="008A0B7A">
            <w:pPr>
              <w:pStyle w:val="BriefingNotes"/>
              <w:tabs>
                <w:tab w:val="right" w:pos="9360"/>
              </w:tabs>
              <w:jc w:val="both"/>
              <w:rPr>
                <w:rFonts w:asciiTheme="minorHAnsi" w:hAnsiTheme="minorHAnsi"/>
                <w:sz w:val="22"/>
                <w:szCs w:val="22"/>
              </w:rPr>
            </w:pPr>
            <w:r>
              <w:rPr>
                <w:rFonts w:asciiTheme="minorHAnsi" w:hAnsiTheme="minorHAnsi"/>
                <w:sz w:val="22"/>
                <w:szCs w:val="22"/>
              </w:rPr>
              <w:t xml:space="preserve">Nancy South, </w:t>
            </w:r>
            <w:r w:rsidRPr="00CE5547">
              <w:rPr>
                <w:rFonts w:asciiTheme="minorHAnsi" w:hAnsiTheme="minorHAnsi"/>
                <w:sz w:val="22"/>
                <w:szCs w:val="22"/>
              </w:rPr>
              <w:t>Incentives Working Group co-chair</w:t>
            </w:r>
          </w:p>
          <w:p w:rsidR="00075BA2" w:rsidRPr="00CE5547" w:rsidRDefault="00075BA2" w:rsidP="008A0B7A">
            <w:pPr>
              <w:pStyle w:val="BriefingNotes"/>
              <w:tabs>
                <w:tab w:val="right" w:pos="9360"/>
              </w:tabs>
              <w:jc w:val="both"/>
              <w:rPr>
                <w:rFonts w:asciiTheme="minorHAnsi" w:hAnsiTheme="minorHAnsi"/>
                <w:sz w:val="22"/>
                <w:szCs w:val="22"/>
              </w:rPr>
            </w:pPr>
            <w:r w:rsidRPr="00CE5547">
              <w:rPr>
                <w:rFonts w:asciiTheme="minorHAnsi" w:hAnsiTheme="minorHAnsi"/>
                <w:sz w:val="22"/>
                <w:szCs w:val="22"/>
              </w:rPr>
              <w:t>George Watson, Incentives Working Group co-chair</w:t>
            </w:r>
          </w:p>
          <w:p w:rsidR="00075BA2" w:rsidRPr="00CE5547" w:rsidRDefault="00075BA2" w:rsidP="008A0B7A">
            <w:pPr>
              <w:pStyle w:val="BriefingNotes"/>
              <w:tabs>
                <w:tab w:val="right" w:pos="9360"/>
              </w:tabs>
              <w:jc w:val="both"/>
              <w:rPr>
                <w:rFonts w:asciiTheme="minorHAnsi" w:hAnsiTheme="minorHAnsi"/>
                <w:sz w:val="22"/>
                <w:szCs w:val="22"/>
              </w:rPr>
            </w:pPr>
            <w:r w:rsidRPr="00CE5547">
              <w:rPr>
                <w:rFonts w:asciiTheme="minorHAnsi" w:hAnsiTheme="minorHAnsi"/>
                <w:sz w:val="22"/>
                <w:szCs w:val="22"/>
              </w:rPr>
              <w:t>Angie Chan, Manager, Community Practice Design</w:t>
            </w:r>
          </w:p>
        </w:tc>
        <w:tc>
          <w:tcPr>
            <w:tcW w:w="1080" w:type="dxa"/>
          </w:tcPr>
          <w:p w:rsidR="00075BA2" w:rsidRPr="00CE5547" w:rsidRDefault="00075BA2" w:rsidP="008A0B7A">
            <w:pPr>
              <w:rPr>
                <w:rFonts w:asciiTheme="minorHAnsi" w:eastAsia="Times New Roman" w:hAnsiTheme="minorHAnsi"/>
                <w:color w:val="auto"/>
                <w:sz w:val="22"/>
                <w:szCs w:val="22"/>
              </w:rPr>
            </w:pPr>
            <w:r w:rsidRPr="00CE5547">
              <w:rPr>
                <w:rFonts w:asciiTheme="minorHAnsi" w:hAnsiTheme="minorHAnsi"/>
                <w:b/>
                <w:sz w:val="22"/>
                <w:szCs w:val="22"/>
              </w:rPr>
              <w:t>PHONE:</w:t>
            </w:r>
          </w:p>
        </w:tc>
        <w:tc>
          <w:tcPr>
            <w:tcW w:w="1728" w:type="dxa"/>
          </w:tcPr>
          <w:p w:rsidR="00075BA2" w:rsidRPr="0024222D" w:rsidRDefault="00075BA2" w:rsidP="008A0B7A">
            <w:pPr>
              <w:rPr>
                <w:rFonts w:asciiTheme="minorHAnsi" w:eastAsia="Times New Roman" w:hAnsiTheme="minorHAnsi"/>
                <w:color w:val="auto"/>
                <w:sz w:val="22"/>
                <w:szCs w:val="22"/>
                <w:lang w:val="en-US"/>
              </w:rPr>
            </w:pPr>
            <w:r w:rsidRPr="00CE5547">
              <w:rPr>
                <w:rFonts w:asciiTheme="minorHAnsi" w:eastAsia="Times New Roman" w:hAnsiTheme="minorHAnsi"/>
                <w:color w:val="auto"/>
                <w:sz w:val="22"/>
                <w:szCs w:val="22"/>
                <w:lang w:val="en-US"/>
              </w:rPr>
              <w:t>250-952-2961</w:t>
            </w:r>
          </w:p>
          <w:p w:rsidR="00075BA2" w:rsidRPr="00CE5547" w:rsidRDefault="00075BA2" w:rsidP="008A0B7A">
            <w:pPr>
              <w:rPr>
                <w:rFonts w:asciiTheme="minorHAnsi" w:eastAsia="Times New Roman" w:hAnsiTheme="minorHAnsi"/>
                <w:color w:val="auto"/>
                <w:sz w:val="22"/>
                <w:szCs w:val="22"/>
                <w:lang w:val="en-US"/>
              </w:rPr>
            </w:pPr>
            <w:r w:rsidRPr="00CE5547">
              <w:rPr>
                <w:rFonts w:asciiTheme="minorHAnsi" w:eastAsia="Times New Roman" w:hAnsiTheme="minorHAnsi"/>
                <w:color w:val="auto"/>
                <w:sz w:val="22"/>
                <w:szCs w:val="22"/>
                <w:lang w:val="en-US"/>
              </w:rPr>
              <w:t>250-624-3331</w:t>
            </w:r>
          </w:p>
          <w:p w:rsidR="00075BA2" w:rsidRPr="00CE5547" w:rsidRDefault="00075BA2" w:rsidP="008A0B7A">
            <w:pPr>
              <w:rPr>
                <w:rFonts w:asciiTheme="minorHAnsi" w:eastAsia="Times New Roman" w:hAnsiTheme="minorHAnsi"/>
                <w:color w:val="auto"/>
                <w:sz w:val="22"/>
                <w:szCs w:val="22"/>
              </w:rPr>
            </w:pPr>
            <w:r w:rsidRPr="00CE5547">
              <w:rPr>
                <w:rFonts w:asciiTheme="minorHAnsi" w:eastAsia="Times New Roman" w:hAnsiTheme="minorHAnsi"/>
                <w:color w:val="auto"/>
                <w:sz w:val="22"/>
                <w:szCs w:val="22"/>
              </w:rPr>
              <w:t>604-638-5768</w:t>
            </w:r>
          </w:p>
        </w:tc>
      </w:tr>
      <w:tr w:rsidR="00075BA2" w:rsidRPr="00CE5547" w:rsidTr="008A0B7A">
        <w:tc>
          <w:tcPr>
            <w:tcW w:w="1818" w:type="dxa"/>
          </w:tcPr>
          <w:p w:rsidR="00075BA2" w:rsidRPr="00CE5547" w:rsidRDefault="00075BA2" w:rsidP="008A0B7A">
            <w:pPr>
              <w:rPr>
                <w:rFonts w:asciiTheme="minorHAnsi" w:hAnsiTheme="minorHAnsi"/>
                <w:b/>
                <w:sz w:val="22"/>
                <w:szCs w:val="22"/>
              </w:rPr>
            </w:pPr>
            <w:r w:rsidRPr="00CE5547">
              <w:rPr>
                <w:rFonts w:asciiTheme="minorHAnsi" w:hAnsiTheme="minorHAnsi"/>
                <w:b/>
                <w:sz w:val="22"/>
                <w:szCs w:val="22"/>
              </w:rPr>
              <w:t>EMAIL:</w:t>
            </w:r>
          </w:p>
        </w:tc>
        <w:tc>
          <w:tcPr>
            <w:tcW w:w="4950" w:type="dxa"/>
          </w:tcPr>
          <w:p w:rsidR="00075BA2" w:rsidRDefault="000B697A" w:rsidP="008A0B7A">
            <w:pPr>
              <w:pStyle w:val="BriefingNotes"/>
              <w:tabs>
                <w:tab w:val="right" w:pos="9360"/>
              </w:tabs>
              <w:jc w:val="both"/>
              <w:rPr>
                <w:rFonts w:asciiTheme="minorHAnsi" w:hAnsiTheme="minorHAnsi"/>
              </w:rPr>
            </w:pPr>
            <w:hyperlink r:id="rId9" w:history="1">
              <w:r w:rsidR="00075BA2" w:rsidRPr="00CE5547">
                <w:rPr>
                  <w:rStyle w:val="Hyperlink"/>
                  <w:rFonts w:asciiTheme="minorHAnsi" w:hAnsiTheme="minorHAnsi"/>
                </w:rPr>
                <w:t>nancy.south@gov.bc.ca</w:t>
              </w:r>
            </w:hyperlink>
            <w:r w:rsidR="00075BA2" w:rsidRPr="00CE5547">
              <w:rPr>
                <w:rFonts w:asciiTheme="minorHAnsi" w:hAnsiTheme="minorHAnsi"/>
              </w:rPr>
              <w:t xml:space="preserve"> </w:t>
            </w:r>
          </w:p>
          <w:p w:rsidR="00075BA2" w:rsidRPr="00CE5547" w:rsidRDefault="000B697A" w:rsidP="008A0B7A">
            <w:pPr>
              <w:pStyle w:val="BriefingNotes"/>
              <w:tabs>
                <w:tab w:val="right" w:pos="9360"/>
              </w:tabs>
              <w:jc w:val="both"/>
              <w:rPr>
                <w:rFonts w:asciiTheme="minorHAnsi" w:hAnsiTheme="minorHAnsi"/>
              </w:rPr>
            </w:pPr>
            <w:hyperlink r:id="rId10" w:history="1">
              <w:r w:rsidR="00075BA2" w:rsidRPr="00CE5547">
                <w:rPr>
                  <w:rStyle w:val="Hyperlink"/>
                  <w:rFonts w:asciiTheme="minorHAnsi" w:hAnsiTheme="minorHAnsi"/>
                </w:rPr>
                <w:t>TWIKA@CITYTEL.NET</w:t>
              </w:r>
            </w:hyperlink>
          </w:p>
          <w:p w:rsidR="00075BA2" w:rsidRPr="00CE5547" w:rsidRDefault="000B697A" w:rsidP="008A0B7A">
            <w:pPr>
              <w:pStyle w:val="BriefingNotes"/>
              <w:tabs>
                <w:tab w:val="right" w:pos="9360"/>
              </w:tabs>
              <w:jc w:val="both"/>
              <w:rPr>
                <w:rFonts w:asciiTheme="minorHAnsi" w:hAnsiTheme="minorHAnsi"/>
                <w:b/>
                <w:sz w:val="22"/>
                <w:szCs w:val="22"/>
              </w:rPr>
            </w:pPr>
            <w:hyperlink r:id="rId11" w:history="1">
              <w:r w:rsidR="00075BA2" w:rsidRPr="00CE5547">
                <w:rPr>
                  <w:rStyle w:val="Hyperlink"/>
                  <w:rFonts w:asciiTheme="minorHAnsi" w:hAnsiTheme="minorHAnsi"/>
                </w:rPr>
                <w:t>achan@doctorsofbc.ca</w:t>
              </w:r>
            </w:hyperlink>
          </w:p>
        </w:tc>
        <w:tc>
          <w:tcPr>
            <w:tcW w:w="1080" w:type="dxa"/>
          </w:tcPr>
          <w:p w:rsidR="00075BA2" w:rsidRPr="00CE5547" w:rsidRDefault="00075BA2" w:rsidP="008A0B7A">
            <w:pPr>
              <w:rPr>
                <w:rFonts w:asciiTheme="minorHAnsi" w:eastAsia="Times New Roman" w:hAnsiTheme="minorHAnsi"/>
                <w:color w:val="auto"/>
                <w:sz w:val="22"/>
                <w:szCs w:val="22"/>
              </w:rPr>
            </w:pPr>
          </w:p>
        </w:tc>
        <w:tc>
          <w:tcPr>
            <w:tcW w:w="1728" w:type="dxa"/>
          </w:tcPr>
          <w:p w:rsidR="00075BA2" w:rsidRPr="00CE5547" w:rsidRDefault="00075BA2" w:rsidP="008A0B7A">
            <w:pPr>
              <w:rPr>
                <w:rFonts w:asciiTheme="minorHAnsi" w:eastAsia="Times New Roman" w:hAnsiTheme="minorHAnsi"/>
                <w:color w:val="auto"/>
                <w:sz w:val="22"/>
                <w:szCs w:val="22"/>
              </w:rPr>
            </w:pPr>
          </w:p>
        </w:tc>
      </w:tr>
    </w:tbl>
    <w:p w:rsidR="00075BA2" w:rsidRPr="00CE5547" w:rsidRDefault="00075BA2" w:rsidP="00075BA2">
      <w:pPr>
        <w:rPr>
          <w:rFonts w:asciiTheme="minorHAnsi" w:hAnsiTheme="minorHAnsi"/>
          <w:b/>
          <w:sz w:val="22"/>
          <w:szCs w:val="22"/>
        </w:rPr>
      </w:pPr>
    </w:p>
    <w:p w:rsidR="00075BA2" w:rsidRPr="00CE5547" w:rsidRDefault="00075BA2" w:rsidP="00075BA2">
      <w:pPr>
        <w:ind w:left="1620" w:hanging="1620"/>
        <w:rPr>
          <w:rFonts w:asciiTheme="minorHAnsi" w:hAnsiTheme="minorHAnsi"/>
          <w:b/>
          <w:sz w:val="22"/>
          <w:szCs w:val="22"/>
        </w:rPr>
      </w:pPr>
      <w:r w:rsidRPr="00CE5547">
        <w:rPr>
          <w:rFonts w:asciiTheme="minorHAnsi" w:hAnsiTheme="minorHAnsi"/>
          <w:b/>
          <w:sz w:val="22"/>
          <w:szCs w:val="22"/>
        </w:rPr>
        <w:t xml:space="preserve">PURPOSE:    </w:t>
      </w:r>
      <w:r w:rsidR="00533B26">
        <w:rPr>
          <w:rFonts w:asciiTheme="minorHAnsi" w:eastAsia="Times New Roman" w:hAnsiTheme="minorHAnsi"/>
          <w:color w:val="auto"/>
          <w:sz w:val="22"/>
          <w:szCs w:val="22"/>
          <w:lang w:val="en-CA"/>
        </w:rPr>
        <w:fldChar w:fldCharType="begin">
          <w:ffData>
            <w:name w:val=""/>
            <w:enabled/>
            <w:calcOnExit w:val="0"/>
            <w:checkBox>
              <w:sizeAuto/>
              <w:default w:val="1"/>
            </w:checkBox>
          </w:ffData>
        </w:fldChar>
      </w:r>
      <w:r w:rsidR="00533B26">
        <w:rPr>
          <w:rFonts w:asciiTheme="minorHAnsi" w:eastAsia="Times New Roman" w:hAnsiTheme="minorHAnsi"/>
          <w:color w:val="auto"/>
          <w:sz w:val="22"/>
          <w:szCs w:val="22"/>
          <w:lang w:val="en-CA"/>
        </w:rPr>
        <w:instrText xml:space="preserve"> FORMCHECKBOX </w:instrText>
      </w:r>
      <w:r w:rsidR="000B697A">
        <w:rPr>
          <w:rFonts w:asciiTheme="minorHAnsi" w:eastAsia="Times New Roman" w:hAnsiTheme="minorHAnsi"/>
          <w:color w:val="auto"/>
          <w:sz w:val="22"/>
          <w:szCs w:val="22"/>
          <w:lang w:val="en-CA"/>
        </w:rPr>
      </w:r>
      <w:r w:rsidR="000B697A">
        <w:rPr>
          <w:rFonts w:asciiTheme="minorHAnsi" w:eastAsia="Times New Roman" w:hAnsiTheme="minorHAnsi"/>
          <w:color w:val="auto"/>
          <w:sz w:val="22"/>
          <w:szCs w:val="22"/>
          <w:lang w:val="en-CA"/>
        </w:rPr>
        <w:fldChar w:fldCharType="separate"/>
      </w:r>
      <w:r w:rsidR="00533B26">
        <w:rPr>
          <w:rFonts w:asciiTheme="minorHAnsi" w:eastAsia="Times New Roman" w:hAnsiTheme="minorHAnsi"/>
          <w:color w:val="auto"/>
          <w:sz w:val="22"/>
          <w:szCs w:val="22"/>
          <w:lang w:val="en-CA"/>
        </w:rPr>
        <w:fldChar w:fldCharType="end"/>
      </w:r>
      <w:r w:rsidRPr="00CE5547">
        <w:rPr>
          <w:rFonts w:asciiTheme="minorHAnsi" w:hAnsiTheme="minorHAnsi"/>
          <w:color w:val="000000" w:themeColor="text1"/>
          <w:sz w:val="22"/>
          <w:szCs w:val="22"/>
        </w:rPr>
        <w:t xml:space="preserve"> </w:t>
      </w:r>
      <w:r w:rsidRPr="00CE5547">
        <w:rPr>
          <w:rFonts w:asciiTheme="minorHAnsi" w:hAnsiTheme="minorHAnsi"/>
          <w:i/>
          <w:sz w:val="22"/>
          <w:szCs w:val="22"/>
        </w:rPr>
        <w:t xml:space="preserve"> Discussion     </w:t>
      </w:r>
      <w:r w:rsidRPr="00CE5547">
        <w:rPr>
          <w:rFonts w:asciiTheme="minorHAnsi" w:eastAsia="Times New Roman" w:hAnsiTheme="minorHAnsi"/>
          <w:color w:val="auto"/>
          <w:sz w:val="22"/>
          <w:szCs w:val="22"/>
          <w:lang w:val="en-CA"/>
        </w:rPr>
        <w:fldChar w:fldCharType="begin" w:fldLock="1">
          <w:ffData>
            <w:name w:val="Check1"/>
            <w:enabled/>
            <w:calcOnExit w:val="0"/>
            <w:checkBox>
              <w:sizeAuto/>
              <w:default w:val="0"/>
            </w:checkBox>
          </w:ffData>
        </w:fldChar>
      </w:r>
      <w:r w:rsidRPr="00CE5547">
        <w:rPr>
          <w:rFonts w:asciiTheme="minorHAnsi" w:eastAsia="Times New Roman" w:hAnsiTheme="minorHAnsi"/>
          <w:color w:val="auto"/>
          <w:sz w:val="22"/>
          <w:szCs w:val="22"/>
          <w:lang w:val="en-CA"/>
        </w:rPr>
        <w:instrText xml:space="preserve"> FORMCHECKBOX </w:instrText>
      </w:r>
      <w:r w:rsidR="000B697A">
        <w:rPr>
          <w:rFonts w:asciiTheme="minorHAnsi" w:eastAsia="Times New Roman" w:hAnsiTheme="minorHAnsi"/>
          <w:color w:val="auto"/>
          <w:sz w:val="22"/>
          <w:szCs w:val="22"/>
          <w:lang w:val="en-CA"/>
        </w:rPr>
      </w:r>
      <w:r w:rsidR="000B697A">
        <w:rPr>
          <w:rFonts w:asciiTheme="minorHAnsi" w:eastAsia="Times New Roman" w:hAnsiTheme="minorHAnsi"/>
          <w:color w:val="auto"/>
          <w:sz w:val="22"/>
          <w:szCs w:val="22"/>
          <w:lang w:val="en-CA"/>
        </w:rPr>
        <w:fldChar w:fldCharType="separate"/>
      </w:r>
      <w:r w:rsidRPr="00CE5547">
        <w:rPr>
          <w:rFonts w:asciiTheme="minorHAnsi" w:eastAsia="Times New Roman" w:hAnsiTheme="minorHAnsi"/>
          <w:color w:val="auto"/>
          <w:sz w:val="22"/>
          <w:szCs w:val="22"/>
          <w:lang w:val="en-CA"/>
        </w:rPr>
        <w:fldChar w:fldCharType="end"/>
      </w:r>
      <w:r w:rsidRPr="00CE5547">
        <w:rPr>
          <w:rFonts w:asciiTheme="minorHAnsi" w:hAnsiTheme="minorHAnsi"/>
          <w:color w:val="000000" w:themeColor="text1"/>
          <w:sz w:val="22"/>
          <w:szCs w:val="22"/>
        </w:rPr>
        <w:t xml:space="preserve"> </w:t>
      </w:r>
      <w:r w:rsidRPr="00CE5547">
        <w:rPr>
          <w:rFonts w:asciiTheme="minorHAnsi" w:hAnsiTheme="minorHAnsi"/>
          <w:i/>
          <w:sz w:val="22"/>
          <w:szCs w:val="22"/>
        </w:rPr>
        <w:t xml:space="preserve"> Consultation      </w:t>
      </w:r>
      <w:r w:rsidR="00533B26">
        <w:rPr>
          <w:rFonts w:asciiTheme="minorHAnsi" w:eastAsia="Times New Roman" w:hAnsiTheme="minorHAnsi"/>
          <w:color w:val="auto"/>
          <w:sz w:val="22"/>
          <w:szCs w:val="22"/>
          <w:lang w:val="en-CA"/>
        </w:rPr>
        <w:fldChar w:fldCharType="begin">
          <w:ffData>
            <w:name w:val=""/>
            <w:enabled/>
            <w:calcOnExit w:val="0"/>
            <w:checkBox>
              <w:sizeAuto/>
              <w:default w:val="1"/>
            </w:checkBox>
          </w:ffData>
        </w:fldChar>
      </w:r>
      <w:r w:rsidR="00533B26">
        <w:rPr>
          <w:rFonts w:asciiTheme="minorHAnsi" w:eastAsia="Times New Roman" w:hAnsiTheme="minorHAnsi"/>
          <w:color w:val="auto"/>
          <w:sz w:val="22"/>
          <w:szCs w:val="22"/>
          <w:lang w:val="en-CA"/>
        </w:rPr>
        <w:instrText xml:space="preserve"> FORMCHECKBOX </w:instrText>
      </w:r>
      <w:r w:rsidR="000B697A">
        <w:rPr>
          <w:rFonts w:asciiTheme="minorHAnsi" w:eastAsia="Times New Roman" w:hAnsiTheme="minorHAnsi"/>
          <w:color w:val="auto"/>
          <w:sz w:val="22"/>
          <w:szCs w:val="22"/>
          <w:lang w:val="en-CA"/>
        </w:rPr>
      </w:r>
      <w:r w:rsidR="000B697A">
        <w:rPr>
          <w:rFonts w:asciiTheme="minorHAnsi" w:eastAsia="Times New Roman" w:hAnsiTheme="minorHAnsi"/>
          <w:color w:val="auto"/>
          <w:sz w:val="22"/>
          <w:szCs w:val="22"/>
          <w:lang w:val="en-CA"/>
        </w:rPr>
        <w:fldChar w:fldCharType="separate"/>
      </w:r>
      <w:r w:rsidR="00533B26">
        <w:rPr>
          <w:rFonts w:asciiTheme="minorHAnsi" w:eastAsia="Times New Roman" w:hAnsiTheme="minorHAnsi"/>
          <w:color w:val="auto"/>
          <w:sz w:val="22"/>
          <w:szCs w:val="22"/>
          <w:lang w:val="en-CA"/>
        </w:rPr>
        <w:fldChar w:fldCharType="end"/>
      </w:r>
      <w:r w:rsidRPr="00CE5547">
        <w:rPr>
          <w:rFonts w:asciiTheme="minorHAnsi" w:hAnsiTheme="minorHAnsi"/>
          <w:color w:val="000000" w:themeColor="text1"/>
          <w:sz w:val="22"/>
          <w:szCs w:val="22"/>
        </w:rPr>
        <w:t xml:space="preserve"> </w:t>
      </w:r>
      <w:r w:rsidRPr="00CE5547">
        <w:rPr>
          <w:rFonts w:asciiTheme="minorHAnsi" w:hAnsiTheme="minorHAnsi"/>
          <w:i/>
          <w:sz w:val="22"/>
          <w:szCs w:val="22"/>
        </w:rPr>
        <w:t xml:space="preserve"> Information      </w:t>
      </w:r>
      <w:r w:rsidR="00533B26">
        <w:rPr>
          <w:rFonts w:asciiTheme="minorHAnsi" w:eastAsia="Times New Roman" w:hAnsiTheme="minorHAnsi"/>
          <w:color w:val="auto"/>
          <w:sz w:val="22"/>
          <w:szCs w:val="22"/>
          <w:lang w:val="en-CA"/>
        </w:rPr>
        <w:fldChar w:fldCharType="begin">
          <w:ffData>
            <w:name w:val=""/>
            <w:enabled/>
            <w:calcOnExit w:val="0"/>
            <w:checkBox>
              <w:sizeAuto/>
              <w:default w:val="0"/>
            </w:checkBox>
          </w:ffData>
        </w:fldChar>
      </w:r>
      <w:r w:rsidR="00533B26">
        <w:rPr>
          <w:rFonts w:asciiTheme="minorHAnsi" w:eastAsia="Times New Roman" w:hAnsiTheme="minorHAnsi"/>
          <w:color w:val="auto"/>
          <w:sz w:val="22"/>
          <w:szCs w:val="22"/>
          <w:lang w:val="en-CA"/>
        </w:rPr>
        <w:instrText xml:space="preserve"> FORMCHECKBOX </w:instrText>
      </w:r>
      <w:r w:rsidR="000B697A">
        <w:rPr>
          <w:rFonts w:asciiTheme="minorHAnsi" w:eastAsia="Times New Roman" w:hAnsiTheme="minorHAnsi"/>
          <w:color w:val="auto"/>
          <w:sz w:val="22"/>
          <w:szCs w:val="22"/>
          <w:lang w:val="en-CA"/>
        </w:rPr>
      </w:r>
      <w:r w:rsidR="000B697A">
        <w:rPr>
          <w:rFonts w:asciiTheme="minorHAnsi" w:eastAsia="Times New Roman" w:hAnsiTheme="minorHAnsi"/>
          <w:color w:val="auto"/>
          <w:sz w:val="22"/>
          <w:szCs w:val="22"/>
          <w:lang w:val="en-CA"/>
        </w:rPr>
        <w:fldChar w:fldCharType="separate"/>
      </w:r>
      <w:r w:rsidR="00533B26">
        <w:rPr>
          <w:rFonts w:asciiTheme="minorHAnsi" w:eastAsia="Times New Roman" w:hAnsiTheme="minorHAnsi"/>
          <w:color w:val="auto"/>
          <w:sz w:val="22"/>
          <w:szCs w:val="22"/>
          <w:lang w:val="en-CA"/>
        </w:rPr>
        <w:fldChar w:fldCharType="end"/>
      </w:r>
      <w:r w:rsidRPr="00CE5547">
        <w:rPr>
          <w:rFonts w:asciiTheme="minorHAnsi" w:hAnsiTheme="minorHAnsi"/>
          <w:color w:val="000000" w:themeColor="text1"/>
          <w:sz w:val="22"/>
          <w:szCs w:val="22"/>
        </w:rPr>
        <w:t xml:space="preserve"> </w:t>
      </w:r>
      <w:r w:rsidRPr="00CE5547">
        <w:rPr>
          <w:rFonts w:asciiTheme="minorHAnsi" w:hAnsiTheme="minorHAnsi"/>
          <w:i/>
          <w:sz w:val="22"/>
          <w:szCs w:val="22"/>
        </w:rPr>
        <w:t xml:space="preserve">Decision   </w:t>
      </w:r>
    </w:p>
    <w:p w:rsidR="00075BA2" w:rsidRDefault="00075BA2" w:rsidP="00075BA2">
      <w:pPr>
        <w:tabs>
          <w:tab w:val="left" w:pos="1620"/>
        </w:tabs>
        <w:rPr>
          <w:rFonts w:asciiTheme="minorHAnsi" w:hAnsiTheme="minorHAnsi"/>
          <w:b/>
          <w:sz w:val="22"/>
          <w:szCs w:val="22"/>
        </w:rPr>
      </w:pPr>
    </w:p>
    <w:p w:rsidR="00075BA2" w:rsidRPr="00CE5547" w:rsidRDefault="00075BA2" w:rsidP="00075BA2">
      <w:pPr>
        <w:tabs>
          <w:tab w:val="left" w:pos="1620"/>
        </w:tabs>
        <w:rPr>
          <w:rFonts w:asciiTheme="minorHAnsi" w:hAnsiTheme="minorHAnsi"/>
          <w:b/>
          <w:sz w:val="22"/>
          <w:szCs w:val="22"/>
        </w:rPr>
      </w:pPr>
    </w:p>
    <w:p w:rsidR="00075BA2" w:rsidRPr="00CE5547" w:rsidRDefault="00075BA2" w:rsidP="00075BA2">
      <w:pPr>
        <w:rPr>
          <w:rFonts w:asciiTheme="minorHAnsi" w:hAnsiTheme="minorHAnsi"/>
          <w:b/>
          <w:sz w:val="22"/>
          <w:szCs w:val="22"/>
        </w:rPr>
      </w:pPr>
      <w:r w:rsidRPr="00CE5547">
        <w:rPr>
          <w:rFonts w:asciiTheme="minorHAnsi" w:hAnsiTheme="minorHAnsi"/>
          <w:b/>
          <w:sz w:val="22"/>
          <w:szCs w:val="22"/>
        </w:rPr>
        <w:t xml:space="preserve">ISSUE: </w:t>
      </w:r>
    </w:p>
    <w:p w:rsidR="00A9781A" w:rsidRPr="0089574C" w:rsidRDefault="00533B26" w:rsidP="00A9781A">
      <w:pPr>
        <w:rPr>
          <w:rFonts w:ascii="Calibri" w:hAnsi="Calibri" w:cs="Calibri"/>
          <w:sz w:val="22"/>
          <w:szCs w:val="22"/>
        </w:rPr>
      </w:pPr>
      <w:r>
        <w:rPr>
          <w:rFonts w:ascii="Calibri" w:hAnsi="Calibri" w:cs="Calibri"/>
          <w:sz w:val="22"/>
          <w:szCs w:val="22"/>
        </w:rPr>
        <w:t>This Briefing Note provides an update on new fees currently being contemplated by t</w:t>
      </w:r>
      <w:r w:rsidR="0089574C">
        <w:rPr>
          <w:rFonts w:ascii="Calibri" w:hAnsi="Calibri" w:cs="Calibri"/>
          <w:sz w:val="22"/>
          <w:szCs w:val="22"/>
        </w:rPr>
        <w:t>he Incentiv</w:t>
      </w:r>
      <w:r w:rsidR="001608A9">
        <w:rPr>
          <w:rFonts w:ascii="Calibri" w:hAnsi="Calibri" w:cs="Calibri"/>
          <w:sz w:val="22"/>
          <w:szCs w:val="22"/>
        </w:rPr>
        <w:t>es Working Group (IWG)</w:t>
      </w:r>
      <w:r>
        <w:rPr>
          <w:rFonts w:ascii="Calibri" w:hAnsi="Calibri" w:cs="Calibri"/>
          <w:sz w:val="22"/>
          <w:szCs w:val="22"/>
        </w:rPr>
        <w:t>. T</w:t>
      </w:r>
      <w:r w:rsidR="004E7D51">
        <w:rPr>
          <w:rFonts w:ascii="Calibri" w:hAnsi="Calibri" w:cs="Calibri"/>
          <w:sz w:val="22"/>
          <w:szCs w:val="22"/>
        </w:rPr>
        <w:t xml:space="preserve">he IWG is discussing </w:t>
      </w:r>
      <w:r w:rsidR="00DB1053">
        <w:rPr>
          <w:rFonts w:ascii="Calibri" w:hAnsi="Calibri" w:cs="Calibri"/>
          <w:sz w:val="22"/>
          <w:szCs w:val="22"/>
        </w:rPr>
        <w:t>options</w:t>
      </w:r>
      <w:r>
        <w:rPr>
          <w:rFonts w:ascii="Calibri" w:hAnsi="Calibri" w:cs="Calibri"/>
          <w:sz w:val="22"/>
          <w:szCs w:val="22"/>
        </w:rPr>
        <w:t xml:space="preserve"> to support panel assessment a</w:t>
      </w:r>
      <w:r w:rsidR="004E7D51">
        <w:rPr>
          <w:rFonts w:ascii="Calibri" w:hAnsi="Calibri" w:cs="Calibri"/>
          <w:sz w:val="22"/>
          <w:szCs w:val="22"/>
        </w:rPr>
        <w:t xml:space="preserve">nd maintenance, expand access to Complex Care planning fees to more patients with </w:t>
      </w:r>
      <w:r w:rsidR="00246A6D">
        <w:rPr>
          <w:rFonts w:ascii="Calibri" w:hAnsi="Calibri" w:cs="Calibri"/>
          <w:sz w:val="22"/>
          <w:szCs w:val="22"/>
        </w:rPr>
        <w:t xml:space="preserve">complexity </w:t>
      </w:r>
      <w:r w:rsidR="00246A6D" w:rsidRPr="00F7782A">
        <w:rPr>
          <w:rFonts w:ascii="Calibri" w:hAnsi="Calibri" w:cs="Calibri"/>
          <w:sz w:val="22"/>
          <w:szCs w:val="22"/>
        </w:rPr>
        <w:t>based on functionality of patient rather than a particular diagnosis</w:t>
      </w:r>
      <w:r w:rsidR="004E7D51">
        <w:rPr>
          <w:rFonts w:ascii="Calibri" w:hAnsi="Calibri" w:cs="Calibri"/>
          <w:sz w:val="22"/>
          <w:szCs w:val="22"/>
        </w:rPr>
        <w:t>, change the CDM fees from disease-specific eligibility to broader patient chronic condition eligibility, and access to fees via a PMH portal and/or block payment.</w:t>
      </w:r>
      <w:r>
        <w:rPr>
          <w:rFonts w:ascii="Calibri" w:hAnsi="Calibri" w:cs="Calibri"/>
          <w:sz w:val="22"/>
          <w:szCs w:val="22"/>
        </w:rPr>
        <w:t xml:space="preserve"> The IWG welcomes any f</w:t>
      </w:r>
      <w:r w:rsidR="005236D3">
        <w:rPr>
          <w:rFonts w:ascii="Calibri" w:hAnsi="Calibri" w:cs="Calibri"/>
          <w:sz w:val="22"/>
          <w:szCs w:val="22"/>
        </w:rPr>
        <w:t>eedback on these potential fees at this point.</w:t>
      </w:r>
    </w:p>
    <w:p w:rsidR="00075BA2" w:rsidRPr="00CE5547" w:rsidRDefault="00075BA2" w:rsidP="00075BA2">
      <w:pPr>
        <w:rPr>
          <w:rFonts w:asciiTheme="minorHAnsi" w:hAnsiTheme="minorHAnsi"/>
          <w:sz w:val="22"/>
          <w:szCs w:val="22"/>
        </w:rPr>
      </w:pPr>
    </w:p>
    <w:p w:rsidR="006922DF" w:rsidRDefault="006922DF" w:rsidP="00075BA2">
      <w:pPr>
        <w:autoSpaceDE w:val="0"/>
        <w:autoSpaceDN w:val="0"/>
        <w:adjustRightInd w:val="0"/>
        <w:rPr>
          <w:rFonts w:asciiTheme="minorHAnsi" w:hAnsiTheme="minorHAnsi"/>
          <w:b/>
          <w:sz w:val="22"/>
          <w:szCs w:val="22"/>
        </w:rPr>
      </w:pPr>
    </w:p>
    <w:p w:rsidR="00075BA2" w:rsidRDefault="00075BA2" w:rsidP="00075BA2">
      <w:pPr>
        <w:autoSpaceDE w:val="0"/>
        <w:autoSpaceDN w:val="0"/>
        <w:adjustRightInd w:val="0"/>
        <w:rPr>
          <w:rFonts w:asciiTheme="minorHAnsi" w:hAnsiTheme="minorHAnsi"/>
          <w:b/>
          <w:sz w:val="22"/>
          <w:szCs w:val="22"/>
        </w:rPr>
      </w:pPr>
      <w:r w:rsidRPr="00CE5547">
        <w:rPr>
          <w:rFonts w:asciiTheme="minorHAnsi" w:hAnsiTheme="minorHAnsi"/>
          <w:b/>
          <w:sz w:val="22"/>
          <w:szCs w:val="22"/>
        </w:rPr>
        <w:t>BACKGROUND</w:t>
      </w:r>
      <w:r w:rsidR="0089574C">
        <w:rPr>
          <w:rFonts w:asciiTheme="minorHAnsi" w:hAnsiTheme="minorHAnsi"/>
          <w:b/>
          <w:sz w:val="22"/>
          <w:szCs w:val="22"/>
        </w:rPr>
        <w:t xml:space="preserve"> &amp; DISCUSSION</w:t>
      </w:r>
      <w:r w:rsidRPr="00CE5547">
        <w:rPr>
          <w:rFonts w:asciiTheme="minorHAnsi" w:hAnsiTheme="minorHAnsi"/>
          <w:b/>
          <w:sz w:val="22"/>
          <w:szCs w:val="22"/>
        </w:rPr>
        <w:t xml:space="preserve">: </w:t>
      </w:r>
    </w:p>
    <w:p w:rsidR="00FE0B5D" w:rsidRDefault="00FE0B5D" w:rsidP="00B05E80">
      <w:pPr>
        <w:rPr>
          <w:rFonts w:ascii="Calibri" w:hAnsi="Calibri" w:cs="Calibri"/>
          <w:sz w:val="22"/>
          <w:szCs w:val="22"/>
        </w:rPr>
      </w:pPr>
    </w:p>
    <w:p w:rsidR="002F400F" w:rsidRDefault="002F400F" w:rsidP="002F400F">
      <w:pPr>
        <w:rPr>
          <w:rFonts w:asciiTheme="minorHAnsi" w:hAnsiTheme="minorHAnsi" w:cstheme="minorHAnsi"/>
          <w:b/>
          <w:sz w:val="22"/>
          <w:szCs w:val="22"/>
        </w:rPr>
      </w:pPr>
      <w:r w:rsidRPr="00FE0B5D">
        <w:rPr>
          <w:rFonts w:asciiTheme="minorHAnsi" w:hAnsiTheme="minorHAnsi" w:cstheme="minorHAnsi"/>
          <w:b/>
          <w:sz w:val="22"/>
          <w:szCs w:val="22"/>
        </w:rPr>
        <w:t>Guiding principles for the overall redesign of GPSC incentives</w:t>
      </w:r>
      <w:r w:rsidR="007761D0">
        <w:rPr>
          <w:rFonts w:asciiTheme="minorHAnsi" w:hAnsiTheme="minorHAnsi" w:cstheme="minorHAnsi"/>
          <w:b/>
          <w:sz w:val="22"/>
          <w:szCs w:val="22"/>
        </w:rPr>
        <w:t xml:space="preserve"> (approved by GPSC Core, March 17, 2017)</w:t>
      </w:r>
    </w:p>
    <w:p w:rsidR="002F400F" w:rsidRPr="00FE0B5D" w:rsidRDefault="002F400F" w:rsidP="002F400F">
      <w:pPr>
        <w:rPr>
          <w:rFonts w:asciiTheme="minorHAnsi" w:hAnsiTheme="minorHAnsi" w:cstheme="minorHAnsi"/>
          <w:sz w:val="22"/>
          <w:szCs w:val="22"/>
        </w:rPr>
      </w:pPr>
      <w:r>
        <w:rPr>
          <w:rFonts w:asciiTheme="minorHAnsi" w:hAnsiTheme="minorHAnsi" w:cstheme="minorHAnsi"/>
          <w:sz w:val="22"/>
          <w:szCs w:val="22"/>
        </w:rPr>
        <w:t>As the</w:t>
      </w:r>
      <w:r w:rsidR="00C352C7">
        <w:rPr>
          <w:rFonts w:asciiTheme="minorHAnsi" w:hAnsiTheme="minorHAnsi" w:cstheme="minorHAnsi"/>
          <w:sz w:val="22"/>
          <w:szCs w:val="22"/>
        </w:rPr>
        <w:t xml:space="preserve"> IWG</w:t>
      </w:r>
      <w:r w:rsidR="00536CF8">
        <w:rPr>
          <w:rFonts w:asciiTheme="minorHAnsi" w:hAnsiTheme="minorHAnsi" w:cstheme="minorHAnsi"/>
          <w:sz w:val="22"/>
          <w:szCs w:val="22"/>
        </w:rPr>
        <w:t xml:space="preserve"> </w:t>
      </w:r>
      <w:r>
        <w:rPr>
          <w:rFonts w:asciiTheme="minorHAnsi" w:hAnsiTheme="minorHAnsi" w:cstheme="minorHAnsi"/>
          <w:sz w:val="22"/>
          <w:szCs w:val="22"/>
        </w:rPr>
        <w:t xml:space="preserve">moves forward with reviewing and redesigning the GPSC incentives, several guiding principles have been identified. These principles are evolving as the iterative nature of the design process identifies new priorities </w:t>
      </w:r>
      <w:r w:rsidR="00AD0D8C">
        <w:rPr>
          <w:rFonts w:asciiTheme="minorHAnsi" w:hAnsiTheme="minorHAnsi" w:cstheme="minorHAnsi"/>
          <w:sz w:val="22"/>
          <w:szCs w:val="22"/>
        </w:rPr>
        <w:t>for</w:t>
      </w:r>
      <w:r>
        <w:rPr>
          <w:rFonts w:asciiTheme="minorHAnsi" w:hAnsiTheme="minorHAnsi" w:cstheme="minorHAnsi"/>
          <w:sz w:val="22"/>
          <w:szCs w:val="22"/>
        </w:rPr>
        <w:t xml:space="preserve"> simplifying the incentives and aligning with the Patient Medical Home.</w:t>
      </w:r>
    </w:p>
    <w:p w:rsidR="002F400F" w:rsidRDefault="00C352C7" w:rsidP="002F400F">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A</w:t>
      </w:r>
      <w:r w:rsidR="00276537">
        <w:rPr>
          <w:rFonts w:asciiTheme="minorHAnsi" w:hAnsiTheme="minorHAnsi" w:cstheme="minorHAnsi"/>
          <w:sz w:val="22"/>
          <w:szCs w:val="22"/>
        </w:rPr>
        <w:t xml:space="preserve"> h</w:t>
      </w:r>
      <w:r w:rsidR="002F400F">
        <w:rPr>
          <w:rFonts w:asciiTheme="minorHAnsi" w:hAnsiTheme="minorHAnsi" w:cstheme="minorHAnsi"/>
          <w:sz w:val="22"/>
          <w:szCs w:val="22"/>
        </w:rPr>
        <w:t>olistic approach to redesign</w:t>
      </w:r>
      <w:r w:rsidR="007761D0">
        <w:rPr>
          <w:rFonts w:asciiTheme="minorHAnsi" w:hAnsiTheme="minorHAnsi" w:cstheme="minorHAnsi"/>
          <w:sz w:val="22"/>
          <w:szCs w:val="22"/>
        </w:rPr>
        <w:t xml:space="preserve"> to</w:t>
      </w:r>
      <w:r w:rsidR="00276537">
        <w:rPr>
          <w:rFonts w:asciiTheme="minorHAnsi" w:hAnsiTheme="minorHAnsi" w:cstheme="minorHAnsi"/>
          <w:sz w:val="22"/>
          <w:szCs w:val="22"/>
        </w:rPr>
        <w:t xml:space="preserve"> facilitate consistency and budgeting across all fees</w:t>
      </w:r>
      <w:r w:rsidR="007761D0">
        <w:rPr>
          <w:rFonts w:asciiTheme="minorHAnsi" w:hAnsiTheme="minorHAnsi" w:cstheme="minorHAnsi"/>
          <w:sz w:val="22"/>
          <w:szCs w:val="22"/>
        </w:rPr>
        <w:t>.</w:t>
      </w:r>
    </w:p>
    <w:p w:rsidR="002F400F" w:rsidRDefault="00C352C7" w:rsidP="002F400F">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A</w:t>
      </w:r>
      <w:r w:rsidR="00276537">
        <w:rPr>
          <w:rFonts w:asciiTheme="minorHAnsi" w:hAnsiTheme="minorHAnsi" w:cstheme="minorHAnsi"/>
          <w:sz w:val="22"/>
          <w:szCs w:val="22"/>
        </w:rPr>
        <w:t xml:space="preserve"> s</w:t>
      </w:r>
      <w:r w:rsidR="002F400F" w:rsidRPr="00C445E5">
        <w:rPr>
          <w:rFonts w:asciiTheme="minorHAnsi" w:hAnsiTheme="minorHAnsi" w:cstheme="minorHAnsi"/>
          <w:sz w:val="22"/>
          <w:szCs w:val="22"/>
        </w:rPr>
        <w:t>implified fee structure and guides</w:t>
      </w:r>
      <w:r w:rsidR="007761D0">
        <w:rPr>
          <w:rFonts w:asciiTheme="minorHAnsi" w:hAnsiTheme="minorHAnsi" w:cstheme="minorHAnsi"/>
          <w:sz w:val="22"/>
          <w:szCs w:val="22"/>
        </w:rPr>
        <w:t xml:space="preserve"> to </w:t>
      </w:r>
      <w:r>
        <w:rPr>
          <w:rFonts w:asciiTheme="minorHAnsi" w:hAnsiTheme="minorHAnsi" w:cstheme="minorHAnsi"/>
          <w:sz w:val="22"/>
          <w:szCs w:val="22"/>
        </w:rPr>
        <w:t>help physicians to utilize the fees.</w:t>
      </w:r>
    </w:p>
    <w:p w:rsidR="002F400F" w:rsidRPr="00C445E5" w:rsidRDefault="00C352C7" w:rsidP="002F400F">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 xml:space="preserve">Fees should be created to </w:t>
      </w:r>
      <w:r w:rsidR="002F400F">
        <w:rPr>
          <w:rFonts w:asciiTheme="minorHAnsi" w:hAnsiTheme="minorHAnsi" w:cstheme="minorHAnsi"/>
          <w:sz w:val="22"/>
          <w:szCs w:val="22"/>
        </w:rPr>
        <w:t>support Team Based Care</w:t>
      </w:r>
      <w:r w:rsidR="007761D0">
        <w:rPr>
          <w:rFonts w:asciiTheme="minorHAnsi" w:hAnsiTheme="minorHAnsi" w:cstheme="minorHAnsi"/>
          <w:sz w:val="22"/>
          <w:szCs w:val="22"/>
        </w:rPr>
        <w:t>,</w:t>
      </w:r>
      <w:r w:rsidR="00FC2374">
        <w:rPr>
          <w:rFonts w:asciiTheme="minorHAnsi" w:hAnsiTheme="minorHAnsi" w:cstheme="minorHAnsi"/>
          <w:sz w:val="22"/>
          <w:szCs w:val="22"/>
        </w:rPr>
        <w:t xml:space="preserve"> which encompass the target populations contained in the PMA</w:t>
      </w:r>
      <w:r>
        <w:rPr>
          <w:rFonts w:asciiTheme="minorHAnsi" w:hAnsiTheme="minorHAnsi" w:cstheme="minorHAnsi"/>
          <w:sz w:val="22"/>
          <w:szCs w:val="22"/>
        </w:rPr>
        <w:t>.</w:t>
      </w:r>
    </w:p>
    <w:p w:rsidR="002F400F" w:rsidRPr="00C445E5" w:rsidRDefault="002F400F" w:rsidP="002F400F">
      <w:pPr>
        <w:pStyle w:val="ListParagraph"/>
        <w:numPr>
          <w:ilvl w:val="0"/>
          <w:numId w:val="1"/>
        </w:numPr>
        <w:spacing w:after="200" w:line="240" w:lineRule="auto"/>
        <w:rPr>
          <w:rFonts w:asciiTheme="minorHAnsi" w:hAnsiTheme="minorHAnsi" w:cstheme="minorHAnsi"/>
          <w:sz w:val="22"/>
          <w:szCs w:val="22"/>
        </w:rPr>
      </w:pPr>
      <w:r w:rsidRPr="00C445E5">
        <w:rPr>
          <w:rFonts w:asciiTheme="minorHAnsi" w:hAnsiTheme="minorHAnsi" w:cstheme="minorHAnsi"/>
          <w:sz w:val="22"/>
          <w:szCs w:val="22"/>
        </w:rPr>
        <w:t>Payment is</w:t>
      </w:r>
      <w:r>
        <w:rPr>
          <w:rFonts w:asciiTheme="minorHAnsi" w:hAnsiTheme="minorHAnsi" w:cstheme="minorHAnsi"/>
          <w:sz w:val="22"/>
          <w:szCs w:val="22"/>
        </w:rPr>
        <w:t xml:space="preserve"> graduated</w:t>
      </w:r>
      <w:r w:rsidRPr="00C445E5">
        <w:rPr>
          <w:rFonts w:asciiTheme="minorHAnsi" w:hAnsiTheme="minorHAnsi" w:cstheme="minorHAnsi"/>
          <w:sz w:val="22"/>
          <w:szCs w:val="22"/>
        </w:rPr>
        <w:t xml:space="preserve"> relative to the complexity </w:t>
      </w:r>
      <w:r>
        <w:rPr>
          <w:rFonts w:asciiTheme="minorHAnsi" w:hAnsiTheme="minorHAnsi" w:cstheme="minorHAnsi"/>
          <w:sz w:val="22"/>
          <w:szCs w:val="22"/>
        </w:rPr>
        <w:t>and</w:t>
      </w:r>
      <w:r w:rsidRPr="00C445E5">
        <w:rPr>
          <w:rFonts w:asciiTheme="minorHAnsi" w:hAnsiTheme="minorHAnsi" w:cstheme="minorHAnsi"/>
          <w:sz w:val="22"/>
          <w:szCs w:val="22"/>
        </w:rPr>
        <w:t xml:space="preserve"> level of effort to treat the patient</w:t>
      </w:r>
      <w:r w:rsidR="00C352C7">
        <w:rPr>
          <w:rFonts w:asciiTheme="minorHAnsi" w:hAnsiTheme="minorHAnsi" w:cstheme="minorHAnsi"/>
          <w:sz w:val="22"/>
          <w:szCs w:val="22"/>
        </w:rPr>
        <w:t>.</w:t>
      </w:r>
    </w:p>
    <w:p w:rsidR="002F400F" w:rsidRPr="00C445E5" w:rsidRDefault="002F400F" w:rsidP="002F400F">
      <w:pPr>
        <w:pStyle w:val="ListParagraph"/>
        <w:numPr>
          <w:ilvl w:val="0"/>
          <w:numId w:val="1"/>
        </w:numPr>
        <w:spacing w:after="200" w:line="240" w:lineRule="auto"/>
        <w:rPr>
          <w:rFonts w:asciiTheme="minorHAnsi" w:hAnsiTheme="minorHAnsi" w:cstheme="minorHAnsi"/>
          <w:sz w:val="22"/>
          <w:szCs w:val="22"/>
        </w:rPr>
      </w:pPr>
      <w:r w:rsidRPr="00C445E5">
        <w:rPr>
          <w:rFonts w:asciiTheme="minorHAnsi" w:hAnsiTheme="minorHAnsi" w:cstheme="minorHAnsi"/>
          <w:sz w:val="22"/>
          <w:szCs w:val="22"/>
        </w:rPr>
        <w:t>Complexity is based on functionality of patient rather than a particular diagnosis</w:t>
      </w:r>
      <w:r w:rsidR="00C352C7">
        <w:rPr>
          <w:rFonts w:asciiTheme="minorHAnsi" w:hAnsiTheme="minorHAnsi" w:cstheme="minorHAnsi"/>
          <w:sz w:val="22"/>
          <w:szCs w:val="22"/>
        </w:rPr>
        <w:t>.</w:t>
      </w:r>
    </w:p>
    <w:p w:rsidR="002F400F" w:rsidRDefault="002F400F" w:rsidP="002F400F">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C</w:t>
      </w:r>
      <w:r w:rsidRPr="00C445E5">
        <w:rPr>
          <w:rFonts w:asciiTheme="minorHAnsi" w:hAnsiTheme="minorHAnsi" w:cstheme="minorHAnsi"/>
          <w:sz w:val="22"/>
          <w:szCs w:val="22"/>
        </w:rPr>
        <w:t>hanges to incentives</w:t>
      </w:r>
      <w:r>
        <w:rPr>
          <w:rFonts w:asciiTheme="minorHAnsi" w:hAnsiTheme="minorHAnsi" w:cstheme="minorHAnsi"/>
          <w:sz w:val="22"/>
          <w:szCs w:val="22"/>
        </w:rPr>
        <w:t xml:space="preserve"> are communicated to</w:t>
      </w:r>
      <w:r w:rsidRPr="00C445E5">
        <w:rPr>
          <w:rFonts w:asciiTheme="minorHAnsi" w:hAnsiTheme="minorHAnsi" w:cstheme="minorHAnsi"/>
          <w:sz w:val="22"/>
          <w:szCs w:val="22"/>
        </w:rPr>
        <w:t xml:space="preserve"> physicians in a timely and informative manner</w:t>
      </w:r>
      <w:r w:rsidR="00C352C7">
        <w:rPr>
          <w:rFonts w:asciiTheme="minorHAnsi" w:hAnsiTheme="minorHAnsi" w:cstheme="minorHAnsi"/>
          <w:sz w:val="22"/>
          <w:szCs w:val="22"/>
        </w:rPr>
        <w:t>.</w:t>
      </w:r>
    </w:p>
    <w:p w:rsidR="00973F33" w:rsidRPr="00AE5F57" w:rsidRDefault="002F400F" w:rsidP="00B05E80">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Fees are auditable</w:t>
      </w:r>
      <w:r w:rsidR="00C352C7">
        <w:rPr>
          <w:rFonts w:asciiTheme="minorHAnsi" w:hAnsiTheme="minorHAnsi" w:cstheme="minorHAnsi"/>
          <w:sz w:val="22"/>
          <w:szCs w:val="22"/>
        </w:rPr>
        <w:t>.</w:t>
      </w:r>
      <w:r>
        <w:rPr>
          <w:rFonts w:asciiTheme="minorHAnsi" w:hAnsiTheme="minorHAnsi" w:cstheme="minorHAnsi"/>
          <w:sz w:val="22"/>
          <w:szCs w:val="22"/>
        </w:rPr>
        <w:t xml:space="preserve"> </w:t>
      </w:r>
    </w:p>
    <w:p w:rsidR="001079DD" w:rsidRDefault="001079DD" w:rsidP="00AE5F57">
      <w:pPr>
        <w:spacing w:after="200" w:line="276" w:lineRule="auto"/>
        <w:rPr>
          <w:rFonts w:asciiTheme="minorHAnsi" w:eastAsia="Times New Roman" w:hAnsiTheme="minorHAnsi"/>
          <w:b/>
          <w:color w:val="auto"/>
          <w:sz w:val="22"/>
          <w:szCs w:val="22"/>
          <w:lang w:val="en-CA"/>
        </w:rPr>
      </w:pPr>
    </w:p>
    <w:p w:rsidR="00AE5F57" w:rsidRDefault="00DB1053" w:rsidP="00AE5F57">
      <w:pPr>
        <w:spacing w:after="200" w:line="276" w:lineRule="auto"/>
        <w:rPr>
          <w:rFonts w:asciiTheme="minorHAnsi" w:eastAsia="Times New Roman" w:hAnsiTheme="minorHAnsi"/>
          <w:b/>
          <w:color w:val="auto"/>
          <w:sz w:val="22"/>
          <w:szCs w:val="22"/>
          <w:lang w:val="en-CA"/>
        </w:rPr>
      </w:pPr>
      <w:r>
        <w:rPr>
          <w:rFonts w:asciiTheme="minorHAnsi" w:eastAsia="Times New Roman" w:hAnsiTheme="minorHAnsi"/>
          <w:b/>
          <w:color w:val="auto"/>
          <w:sz w:val="22"/>
          <w:szCs w:val="22"/>
          <w:lang w:val="en-CA"/>
        </w:rPr>
        <w:lastRenderedPageBreak/>
        <w:t>Proposals i</w:t>
      </w:r>
      <w:r w:rsidR="005236D3">
        <w:rPr>
          <w:rFonts w:asciiTheme="minorHAnsi" w:eastAsia="Times New Roman" w:hAnsiTheme="minorHAnsi"/>
          <w:b/>
          <w:color w:val="auto"/>
          <w:sz w:val="22"/>
          <w:szCs w:val="22"/>
          <w:lang w:val="en-CA"/>
        </w:rPr>
        <w:t>n Progress</w:t>
      </w:r>
    </w:p>
    <w:p w:rsidR="005236D3" w:rsidRDefault="000F3B09"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1</w:t>
      </w:r>
      <w:r w:rsidR="005236D3">
        <w:rPr>
          <w:rFonts w:asciiTheme="minorHAnsi" w:eastAsia="Times New Roman" w:hAnsiTheme="minorHAnsi"/>
          <w:color w:val="auto"/>
          <w:sz w:val="22"/>
          <w:szCs w:val="22"/>
          <w:lang w:val="en-CA"/>
        </w:rPr>
        <w:t>) Fees to Support Panel Assessment and Maintenance</w:t>
      </w:r>
    </w:p>
    <w:p w:rsidR="005236D3" w:rsidRDefault="005236D3"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 xml:space="preserve">The IWG recognizes panel assessment and maintenance as foundational activities to the PMH. An understanding of one’s panel enables practices to plan and coordinate their services appropriately and to build a clinical team – whether in-practice or networked – according to their patients’ needs. </w:t>
      </w:r>
      <w:r w:rsidR="00246A6D">
        <w:rPr>
          <w:rFonts w:asciiTheme="minorHAnsi" w:eastAsia="Times New Roman" w:hAnsiTheme="minorHAnsi"/>
          <w:color w:val="auto"/>
          <w:sz w:val="22"/>
          <w:szCs w:val="22"/>
          <w:lang w:val="en-CA"/>
        </w:rPr>
        <w:t>The IWG, in consultation with PSP, is in the process of developing the parameters of incentives to support panel assessment and maintenance, understanding the operational resources that would be necessary to support physicians who would use the fees, and projecting the budget implications. The IWG is also planning activities to engage FPs as these new incentives are developed, which will likely begin at the GPSC Summit and continue during the summer.</w:t>
      </w:r>
    </w:p>
    <w:p w:rsidR="00783F1C" w:rsidRDefault="000F3B09"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2</w:t>
      </w:r>
      <w:r w:rsidR="00783F1C">
        <w:rPr>
          <w:rFonts w:asciiTheme="minorHAnsi" w:eastAsia="Times New Roman" w:hAnsiTheme="minorHAnsi"/>
          <w:color w:val="auto"/>
          <w:sz w:val="22"/>
          <w:szCs w:val="22"/>
          <w:lang w:val="en-CA"/>
        </w:rPr>
        <w:t>)</w:t>
      </w:r>
      <w:r>
        <w:rPr>
          <w:rFonts w:asciiTheme="minorHAnsi" w:eastAsia="Times New Roman" w:hAnsiTheme="minorHAnsi"/>
          <w:color w:val="auto"/>
          <w:sz w:val="22"/>
          <w:szCs w:val="22"/>
          <w:lang w:val="en-CA"/>
        </w:rPr>
        <w:t xml:space="preserve"> Complex Care &amp; CDM Simplification</w:t>
      </w:r>
    </w:p>
    <w:p w:rsidR="000F3B09" w:rsidRPr="000F3B09" w:rsidRDefault="000F3B09" w:rsidP="0085434D">
      <w:pPr>
        <w:spacing w:after="200" w:line="276" w:lineRule="auto"/>
        <w:rPr>
          <w:rFonts w:asciiTheme="minorHAnsi" w:eastAsia="Times New Roman" w:hAnsiTheme="minorHAnsi"/>
          <w:b/>
          <w:color w:val="auto"/>
          <w:sz w:val="22"/>
          <w:szCs w:val="22"/>
          <w:lang w:val="en-US"/>
        </w:rPr>
      </w:pPr>
      <w:r w:rsidRPr="000F3B09">
        <w:rPr>
          <w:rFonts w:asciiTheme="minorHAnsi" w:eastAsia="Times New Roman" w:hAnsiTheme="minorHAnsi"/>
          <w:b/>
          <w:color w:val="auto"/>
          <w:sz w:val="22"/>
          <w:szCs w:val="22"/>
          <w:lang w:val="en-US"/>
        </w:rPr>
        <w:t>Context</w:t>
      </w:r>
    </w:p>
    <w:p w:rsidR="0085434D" w:rsidRPr="004E1537" w:rsidRDefault="0085434D" w:rsidP="0085434D">
      <w:pPr>
        <w:spacing w:after="200" w:line="276" w:lineRule="auto"/>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US"/>
        </w:rPr>
        <w:t xml:space="preserve">Currently the </w:t>
      </w:r>
      <w:r>
        <w:rPr>
          <w:rFonts w:asciiTheme="minorHAnsi" w:eastAsia="Times New Roman" w:hAnsiTheme="minorHAnsi"/>
          <w:color w:val="auto"/>
          <w:sz w:val="22"/>
          <w:szCs w:val="22"/>
          <w:lang w:val="en-US"/>
        </w:rPr>
        <w:t xml:space="preserve">Complex Care Incentives, </w:t>
      </w:r>
      <w:r w:rsidRPr="004E1537">
        <w:rPr>
          <w:rFonts w:asciiTheme="minorHAnsi" w:eastAsia="Times New Roman" w:hAnsiTheme="minorHAnsi"/>
          <w:color w:val="auto"/>
          <w:sz w:val="22"/>
          <w:szCs w:val="22"/>
          <w:lang w:val="en-US"/>
        </w:rPr>
        <w:t>G14033 and G14075</w:t>
      </w:r>
      <w:r>
        <w:rPr>
          <w:rFonts w:asciiTheme="minorHAnsi" w:eastAsia="Times New Roman" w:hAnsiTheme="minorHAnsi"/>
          <w:color w:val="auto"/>
          <w:sz w:val="22"/>
          <w:szCs w:val="22"/>
          <w:lang w:val="en-US"/>
        </w:rPr>
        <w:t>,</w:t>
      </w:r>
      <w:r w:rsidRPr="004E1537">
        <w:rPr>
          <w:rFonts w:asciiTheme="minorHAnsi" w:eastAsia="Times New Roman" w:hAnsiTheme="minorHAnsi"/>
          <w:color w:val="auto"/>
          <w:sz w:val="22"/>
          <w:szCs w:val="22"/>
          <w:lang w:val="en-US"/>
        </w:rPr>
        <w:t xml:space="preserve"> do not reflect the actual complexity burden in any given family physician practice because of their restriction to specific diagnoses.   Separating out the planning visit fee of $100 from the current complex care incentive fees would allow the reallocation of roughly 2/3 of the total Complex Care Expenditures </w:t>
      </w:r>
      <w:proofErr w:type="gramStart"/>
      <w:r w:rsidRPr="004E1537">
        <w:rPr>
          <w:rFonts w:asciiTheme="minorHAnsi" w:eastAsia="Times New Roman" w:hAnsiTheme="minorHAnsi"/>
          <w:color w:val="auto"/>
          <w:sz w:val="22"/>
          <w:szCs w:val="22"/>
          <w:lang w:val="en-US"/>
        </w:rPr>
        <w:t>to  the</w:t>
      </w:r>
      <w:proofErr w:type="gramEnd"/>
      <w:r w:rsidRPr="004E1537">
        <w:rPr>
          <w:rFonts w:asciiTheme="minorHAnsi" w:eastAsia="Times New Roman" w:hAnsiTheme="minorHAnsi"/>
          <w:color w:val="auto"/>
          <w:sz w:val="22"/>
          <w:szCs w:val="22"/>
          <w:lang w:val="en-US"/>
        </w:rPr>
        <w:t xml:space="preserve"> provision of a planning service to a much broader patient population.  GPSC would need to consider a process for determining the criteria under which patients become eligible and could use:</w:t>
      </w:r>
    </w:p>
    <w:p w:rsidR="0085434D" w:rsidRPr="004E1537" w:rsidRDefault="0085434D" w:rsidP="0085434D">
      <w:pPr>
        <w:numPr>
          <w:ilvl w:val="0"/>
          <w:numId w:val="10"/>
        </w:numPr>
        <w:spacing w:after="200" w:line="276" w:lineRule="auto"/>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US"/>
        </w:rPr>
        <w:t>Patient demographic calculations (</w:t>
      </w:r>
      <w:proofErr w:type="spellStart"/>
      <w:r w:rsidRPr="004E1537">
        <w:rPr>
          <w:rFonts w:asciiTheme="minorHAnsi" w:eastAsia="Times New Roman" w:hAnsiTheme="minorHAnsi"/>
          <w:color w:val="auto"/>
          <w:sz w:val="22"/>
          <w:szCs w:val="22"/>
          <w:lang w:val="en-US"/>
        </w:rPr>
        <w:t>eg</w:t>
      </w:r>
      <w:proofErr w:type="spellEnd"/>
      <w:r w:rsidRPr="004E1537">
        <w:rPr>
          <w:rFonts w:asciiTheme="minorHAnsi" w:eastAsia="Times New Roman" w:hAnsiTheme="minorHAnsi"/>
          <w:color w:val="auto"/>
          <w:sz w:val="22"/>
          <w:szCs w:val="22"/>
          <w:lang w:val="en-US"/>
        </w:rPr>
        <w:t xml:space="preserve">. ACG, RUB or other </w:t>
      </w:r>
      <w:proofErr w:type="spellStart"/>
      <w:r w:rsidRPr="004E1537">
        <w:rPr>
          <w:rFonts w:asciiTheme="minorHAnsi" w:eastAsia="Times New Roman" w:hAnsiTheme="minorHAnsi"/>
          <w:color w:val="auto"/>
          <w:sz w:val="22"/>
          <w:szCs w:val="22"/>
          <w:lang w:val="en-US"/>
        </w:rPr>
        <w:t>MoH</w:t>
      </w:r>
      <w:proofErr w:type="spellEnd"/>
      <w:r w:rsidRPr="004E1537">
        <w:rPr>
          <w:rFonts w:asciiTheme="minorHAnsi" w:eastAsia="Times New Roman" w:hAnsiTheme="minorHAnsi"/>
          <w:color w:val="auto"/>
          <w:sz w:val="22"/>
          <w:szCs w:val="22"/>
          <w:lang w:val="en-US"/>
        </w:rPr>
        <w:t xml:space="preserve"> process)</w:t>
      </w:r>
    </w:p>
    <w:p w:rsidR="0085434D" w:rsidRPr="004E1537" w:rsidRDefault="0085434D" w:rsidP="0085434D">
      <w:pPr>
        <w:numPr>
          <w:ilvl w:val="0"/>
          <w:numId w:val="10"/>
        </w:numPr>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US"/>
        </w:rPr>
        <w:t>Some of the health status groups from the Blue Matrix table to determine the targeted patient eligibility.  Some of the categories which most logically fall under a revised complex patient support component are:</w:t>
      </w:r>
    </w:p>
    <w:p w:rsidR="0085434D" w:rsidRPr="004E1537" w:rsidRDefault="0085434D" w:rsidP="0085434D">
      <w:pPr>
        <w:numPr>
          <w:ilvl w:val="1"/>
          <w:numId w:val="10"/>
        </w:numPr>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CA"/>
        </w:rPr>
        <w:t>Frail in Care (residential care)</w:t>
      </w:r>
    </w:p>
    <w:p w:rsidR="0085434D" w:rsidRPr="004E1537" w:rsidRDefault="0085434D" w:rsidP="0085434D">
      <w:pPr>
        <w:numPr>
          <w:ilvl w:val="1"/>
          <w:numId w:val="10"/>
        </w:numPr>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CA"/>
        </w:rPr>
        <w:t xml:space="preserve">Cancer </w:t>
      </w:r>
    </w:p>
    <w:p w:rsidR="0085434D" w:rsidRPr="004E1537" w:rsidRDefault="0085434D" w:rsidP="0085434D">
      <w:pPr>
        <w:numPr>
          <w:ilvl w:val="1"/>
          <w:numId w:val="10"/>
        </w:numPr>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CA"/>
        </w:rPr>
        <w:t>High Complex Chronic Conditions (would need further definition/explanation)</w:t>
      </w:r>
    </w:p>
    <w:p w:rsidR="0085434D" w:rsidRPr="0085434D" w:rsidRDefault="0085434D" w:rsidP="0085434D">
      <w:pPr>
        <w:numPr>
          <w:ilvl w:val="1"/>
          <w:numId w:val="10"/>
        </w:numPr>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CA"/>
        </w:rPr>
        <w:t xml:space="preserve">Frail in the Community  </w:t>
      </w:r>
    </w:p>
    <w:p w:rsidR="004E1537" w:rsidRPr="004E1537" w:rsidRDefault="004E1537" w:rsidP="004E1537">
      <w:pPr>
        <w:numPr>
          <w:ilvl w:val="1"/>
          <w:numId w:val="10"/>
        </w:numPr>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CA"/>
        </w:rPr>
        <w:t>Severe Disability</w:t>
      </w:r>
    </w:p>
    <w:p w:rsidR="004E1537" w:rsidRPr="004E1537" w:rsidRDefault="004E1537" w:rsidP="004E1537">
      <w:pPr>
        <w:numPr>
          <w:ilvl w:val="1"/>
          <w:numId w:val="10"/>
        </w:numPr>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CA"/>
        </w:rPr>
        <w:t>Mental Health and Substance Use (largely covered with G14043)</w:t>
      </w:r>
    </w:p>
    <w:p w:rsidR="004E1537" w:rsidRDefault="004E1537" w:rsidP="00AE5F57">
      <w:pPr>
        <w:spacing w:after="200" w:line="276" w:lineRule="auto"/>
        <w:rPr>
          <w:rFonts w:asciiTheme="minorHAnsi" w:eastAsia="Times New Roman" w:hAnsiTheme="minorHAnsi"/>
          <w:color w:val="auto"/>
          <w:sz w:val="22"/>
          <w:szCs w:val="22"/>
          <w:lang w:val="en-CA"/>
        </w:rPr>
      </w:pPr>
    </w:p>
    <w:p w:rsidR="0085434D" w:rsidRPr="0085434D" w:rsidRDefault="0085434D" w:rsidP="0085434D">
      <w:pPr>
        <w:spacing w:after="200" w:line="276" w:lineRule="auto"/>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In 2003, the GP Services Committee launched its first Full Service Family Practice Condition Payment (CDM for Diabetes and HF). The program was enhanced in 2006 through an increased annual bonus amount for provision of clinical guidelines informed care for patients with diabetes and congestive heart failure (from $75 to $125 per person) and introduction of a $50 bonus payment for patients with hypertension management.  This initiative was further expanded in 2009 to include a CDM incentive for COPD.  The program payments recognize that additional work, beyond the office visit payments, of providing guideline informed care to patients over a year.  The initial purpose of the condition based payments was to improve patient care as a result of significant care gaps that had been identified.</w:t>
      </w:r>
    </w:p>
    <w:p w:rsidR="0085434D" w:rsidRPr="0085434D" w:rsidRDefault="0085434D" w:rsidP="0085434D">
      <w:pPr>
        <w:spacing w:after="200" w:line="276" w:lineRule="auto"/>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lastRenderedPageBreak/>
        <w:t xml:space="preserve">If the GPSC wishes to consider broadening the patient eligibility, this could be done by developing a tiered approach to payment for up to 3 co-morbidities </w:t>
      </w:r>
      <w:proofErr w:type="spellStart"/>
      <w:r w:rsidRPr="0085434D">
        <w:rPr>
          <w:rFonts w:asciiTheme="minorHAnsi" w:eastAsia="Times New Roman" w:hAnsiTheme="minorHAnsi"/>
          <w:color w:val="auto"/>
          <w:sz w:val="22"/>
          <w:szCs w:val="22"/>
          <w:lang w:val="en-US"/>
        </w:rPr>
        <w:t>eg</w:t>
      </w:r>
      <w:proofErr w:type="spellEnd"/>
      <w:r w:rsidRPr="0085434D">
        <w:rPr>
          <w:rFonts w:asciiTheme="minorHAnsi" w:eastAsia="Times New Roman" w:hAnsiTheme="minorHAnsi"/>
          <w:color w:val="auto"/>
          <w:sz w:val="22"/>
          <w:szCs w:val="22"/>
          <w:lang w:val="en-US"/>
        </w:rPr>
        <w:t xml:space="preserve">. </w:t>
      </w:r>
      <w:proofErr w:type="gramStart"/>
      <w:r w:rsidRPr="0085434D">
        <w:rPr>
          <w:rFonts w:asciiTheme="minorHAnsi" w:eastAsia="Times New Roman" w:hAnsiTheme="minorHAnsi"/>
          <w:color w:val="auto"/>
          <w:sz w:val="22"/>
          <w:szCs w:val="22"/>
          <w:lang w:val="en-US"/>
        </w:rPr>
        <w:t>$100 for first condition, $75 for second condition and $50 for third condition for a maximum of $225 for patients with three or more co-morbidities.</w:t>
      </w:r>
      <w:proofErr w:type="gramEnd"/>
      <w:r w:rsidRPr="0085434D">
        <w:rPr>
          <w:rFonts w:asciiTheme="minorHAnsi" w:eastAsia="Times New Roman" w:hAnsiTheme="minorHAnsi"/>
          <w:color w:val="auto"/>
          <w:sz w:val="22"/>
          <w:szCs w:val="22"/>
          <w:lang w:val="en-US"/>
        </w:rPr>
        <w:t xml:space="preserve">  GPSC would need to determine a process to identify what would qualify as an eligible chronic condition. </w:t>
      </w:r>
    </w:p>
    <w:p w:rsidR="0085434D" w:rsidRPr="0085434D" w:rsidRDefault="0085434D" w:rsidP="0085434D">
      <w:pPr>
        <w:spacing w:after="200" w:line="276" w:lineRule="auto"/>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 xml:space="preserve">To move away from a disease specific focus to a patient focused support of chronic illness care, the GPSC could consider expansion of the Chronic Condition Management incentives to support the shift to planned proactive care for any chronic condition that has a significant burden for patients.  Eligibility could be determined by the number of chronic conditions a patient has to a maximum number, rather than by specific diseases.  The Chronic Care incentives should be viewed as an overall support for the increased time, intensity and complexity of care </w:t>
      </w:r>
      <w:r w:rsidR="000F3B09">
        <w:rPr>
          <w:rFonts w:asciiTheme="minorHAnsi" w:eastAsia="Times New Roman" w:hAnsiTheme="minorHAnsi"/>
          <w:color w:val="auto"/>
          <w:sz w:val="22"/>
          <w:szCs w:val="22"/>
          <w:lang w:val="en-US"/>
        </w:rPr>
        <w:t xml:space="preserve">required by patient with </w:t>
      </w:r>
      <w:r w:rsidRPr="0085434D">
        <w:rPr>
          <w:rFonts w:asciiTheme="minorHAnsi" w:eastAsia="Times New Roman" w:hAnsiTheme="minorHAnsi"/>
          <w:color w:val="auto"/>
          <w:sz w:val="22"/>
          <w:szCs w:val="22"/>
          <w:lang w:val="en-US"/>
        </w:rPr>
        <w:t>increasing numbers of co-morbidities.  Eligible Chronic Conditions might be defined as those that meet the following criteria:</w:t>
      </w:r>
    </w:p>
    <w:p w:rsidR="0085434D" w:rsidRPr="0085434D" w:rsidRDefault="0085434D" w:rsidP="0085434D">
      <w:pPr>
        <w:numPr>
          <w:ilvl w:val="0"/>
          <w:numId w:val="12"/>
        </w:numPr>
        <w:spacing w:after="200" w:line="276" w:lineRule="auto"/>
        <w:rPr>
          <w:rFonts w:asciiTheme="minorHAnsi" w:eastAsia="Times New Roman" w:hAnsiTheme="minorHAnsi"/>
          <w:color w:val="auto"/>
          <w:sz w:val="22"/>
          <w:szCs w:val="22"/>
          <w:lang w:val="en-CA"/>
        </w:rPr>
      </w:pPr>
      <w:r w:rsidRPr="0085434D">
        <w:rPr>
          <w:rFonts w:asciiTheme="minorHAnsi" w:eastAsia="Times New Roman" w:hAnsiTheme="minorHAnsi"/>
          <w:color w:val="auto"/>
          <w:sz w:val="22"/>
          <w:szCs w:val="22"/>
          <w:lang w:val="en-CA"/>
        </w:rPr>
        <w:t>Chronic persistent  with potential to degenerate if not appropriately monitored and addressed</w:t>
      </w:r>
    </w:p>
    <w:p w:rsidR="0085434D" w:rsidRPr="0085434D" w:rsidRDefault="0085434D" w:rsidP="0085434D">
      <w:pPr>
        <w:numPr>
          <w:ilvl w:val="0"/>
          <w:numId w:val="12"/>
        </w:numPr>
        <w:spacing w:after="200" w:line="276" w:lineRule="auto"/>
        <w:rPr>
          <w:rFonts w:asciiTheme="minorHAnsi" w:eastAsia="Times New Roman" w:hAnsiTheme="minorHAnsi"/>
          <w:color w:val="auto"/>
          <w:sz w:val="22"/>
          <w:szCs w:val="22"/>
          <w:lang w:val="en-CA"/>
        </w:rPr>
      </w:pPr>
      <w:r w:rsidRPr="0085434D">
        <w:rPr>
          <w:rFonts w:asciiTheme="minorHAnsi" w:eastAsia="Times New Roman" w:hAnsiTheme="minorHAnsi"/>
          <w:color w:val="auto"/>
          <w:sz w:val="22"/>
          <w:szCs w:val="22"/>
          <w:lang w:val="en-CA"/>
        </w:rPr>
        <w:t>Have the potential for multi-system impact</w:t>
      </w:r>
    </w:p>
    <w:p w:rsidR="0085434D" w:rsidRPr="0085434D" w:rsidRDefault="0085434D" w:rsidP="0085434D">
      <w:pPr>
        <w:numPr>
          <w:ilvl w:val="0"/>
          <w:numId w:val="12"/>
        </w:numPr>
        <w:spacing w:after="200" w:line="276" w:lineRule="auto"/>
        <w:rPr>
          <w:rFonts w:asciiTheme="minorHAnsi" w:eastAsia="Times New Roman" w:hAnsiTheme="minorHAnsi"/>
          <w:color w:val="auto"/>
          <w:sz w:val="22"/>
          <w:szCs w:val="22"/>
          <w:lang w:val="en-CA"/>
        </w:rPr>
      </w:pPr>
      <w:r w:rsidRPr="0085434D">
        <w:rPr>
          <w:rFonts w:asciiTheme="minorHAnsi" w:eastAsia="Times New Roman" w:hAnsiTheme="minorHAnsi"/>
          <w:color w:val="auto"/>
          <w:sz w:val="22"/>
          <w:szCs w:val="22"/>
          <w:lang w:val="en-CA"/>
        </w:rPr>
        <w:t xml:space="preserve">Have an accepted guideline for management, either BC GPAC guideline or other internationally accepted guideline OR are known to be a cause of significant use of health care resources </w:t>
      </w:r>
    </w:p>
    <w:p w:rsidR="0085434D" w:rsidRPr="0085434D" w:rsidRDefault="0085434D" w:rsidP="0085434D">
      <w:pPr>
        <w:spacing w:after="200" w:line="276" w:lineRule="auto"/>
        <w:rPr>
          <w:rFonts w:asciiTheme="minorHAnsi" w:eastAsia="Times New Roman" w:hAnsiTheme="minorHAnsi"/>
          <w:b/>
          <w:color w:val="auto"/>
          <w:sz w:val="22"/>
          <w:szCs w:val="22"/>
          <w:lang w:val="en-US"/>
        </w:rPr>
      </w:pPr>
      <w:r w:rsidRPr="0085434D">
        <w:rPr>
          <w:rFonts w:asciiTheme="minorHAnsi" w:eastAsia="Times New Roman" w:hAnsiTheme="minorHAnsi"/>
          <w:b/>
          <w:color w:val="auto"/>
          <w:sz w:val="22"/>
          <w:szCs w:val="22"/>
          <w:lang w:val="en-US"/>
        </w:rPr>
        <w:t>Complex Care/CDM Simplification Options</w:t>
      </w:r>
    </w:p>
    <w:p w:rsidR="0085434D" w:rsidRPr="0085434D" w:rsidRDefault="0085434D" w:rsidP="0085434D">
      <w:pPr>
        <w:spacing w:after="200" w:line="276" w:lineRule="auto"/>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 xml:space="preserve">Currently a patient with Diabetes, CHF and </w:t>
      </w:r>
      <w:proofErr w:type="gramStart"/>
      <w:r w:rsidRPr="0085434D">
        <w:rPr>
          <w:rFonts w:asciiTheme="minorHAnsi" w:eastAsia="Times New Roman" w:hAnsiTheme="minorHAnsi"/>
          <w:color w:val="auto"/>
          <w:sz w:val="22"/>
          <w:szCs w:val="22"/>
          <w:lang w:val="en-US"/>
        </w:rPr>
        <w:t>COPD  qualifies</w:t>
      </w:r>
      <w:proofErr w:type="gramEnd"/>
      <w:r w:rsidRPr="0085434D">
        <w:rPr>
          <w:rFonts w:asciiTheme="minorHAnsi" w:eastAsia="Times New Roman" w:hAnsiTheme="minorHAnsi"/>
          <w:color w:val="auto"/>
          <w:sz w:val="22"/>
          <w:szCs w:val="22"/>
          <w:lang w:val="en-US"/>
        </w:rPr>
        <w:t xml:space="preserve"> for GPSC incentives of  3 X $125 for  three CDMs plus $315 for the Complex Care fee for a total of $690.  There are many patients with multiple complex comorbidities who do not qualify for any GPSC incentive fees.   When considered as a package, there is significant overlap in the CDM and Complex Care Incentives.  The CDM incentives are retrospective payment to recognize the time, intensity and complexity of care over the previous 12 months in support of guideline informed, planned proactive care for patients with chronic conditions.  The Complex Care incentives are payment for a planning process and advance compensation for the time, intensity and complexity of managing these patients for the </w:t>
      </w:r>
      <w:r w:rsidR="004E7D51">
        <w:rPr>
          <w:rFonts w:asciiTheme="minorHAnsi" w:eastAsia="Times New Roman" w:hAnsiTheme="minorHAnsi"/>
          <w:color w:val="auto"/>
          <w:sz w:val="22"/>
          <w:szCs w:val="22"/>
          <w:lang w:val="en-US"/>
        </w:rPr>
        <w:t xml:space="preserve">following </w:t>
      </w:r>
      <w:r w:rsidRPr="0085434D">
        <w:rPr>
          <w:rFonts w:asciiTheme="minorHAnsi" w:eastAsia="Times New Roman" w:hAnsiTheme="minorHAnsi"/>
          <w:color w:val="auto"/>
          <w:sz w:val="22"/>
          <w:szCs w:val="22"/>
          <w:lang w:val="en-US"/>
        </w:rPr>
        <w:t xml:space="preserve">year.  </w:t>
      </w:r>
      <w:r w:rsidR="00246A6D">
        <w:rPr>
          <w:rFonts w:asciiTheme="minorHAnsi" w:eastAsia="Times New Roman" w:hAnsiTheme="minorHAnsi"/>
          <w:color w:val="auto"/>
          <w:sz w:val="22"/>
          <w:szCs w:val="22"/>
          <w:lang w:val="en-US"/>
        </w:rPr>
        <w:t>For patients with any two of Diabetes, Heart Failure and COPD, there is in essence double coverage.  The Complex Care Fee to plan for the coming year plus the CDM fees after 12 months of care, both designed to recognize time, intensity and complexity.</w:t>
      </w:r>
      <w:r w:rsidR="00246A6D" w:rsidRPr="0085434D">
        <w:rPr>
          <w:rFonts w:asciiTheme="minorHAnsi" w:eastAsia="Times New Roman" w:hAnsiTheme="minorHAnsi"/>
          <w:color w:val="auto"/>
          <w:sz w:val="22"/>
          <w:szCs w:val="22"/>
          <w:lang w:val="en-US"/>
        </w:rPr>
        <w:t xml:space="preserve">  </w:t>
      </w:r>
    </w:p>
    <w:p w:rsidR="0085434D" w:rsidRPr="0085434D" w:rsidRDefault="0085434D" w:rsidP="0085434D">
      <w:pPr>
        <w:spacing w:after="200" w:line="276" w:lineRule="auto"/>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There is the potential to combine the Complex Care and CDM incentive funding to allow redistribution in a manner that supports incentive payments for managing the care of a larger group of complex patients.   There are two potential options.  O</w:t>
      </w:r>
      <w:r w:rsidR="004E7D51">
        <w:rPr>
          <w:rFonts w:asciiTheme="minorHAnsi" w:eastAsia="Times New Roman" w:hAnsiTheme="minorHAnsi"/>
          <w:color w:val="auto"/>
          <w:sz w:val="22"/>
          <w:szCs w:val="22"/>
          <w:lang w:val="en-US"/>
        </w:rPr>
        <w:t xml:space="preserve">ne </w:t>
      </w:r>
      <w:proofErr w:type="gramStart"/>
      <w:r w:rsidRPr="0085434D">
        <w:rPr>
          <w:rFonts w:asciiTheme="minorHAnsi" w:eastAsia="Times New Roman" w:hAnsiTheme="minorHAnsi"/>
          <w:color w:val="auto"/>
          <w:sz w:val="22"/>
          <w:szCs w:val="22"/>
          <w:lang w:val="en-US"/>
        </w:rPr>
        <w:t>moves</w:t>
      </w:r>
      <w:proofErr w:type="gramEnd"/>
      <w:r w:rsidRPr="0085434D">
        <w:rPr>
          <w:rFonts w:asciiTheme="minorHAnsi" w:eastAsia="Times New Roman" w:hAnsiTheme="minorHAnsi"/>
          <w:color w:val="auto"/>
          <w:sz w:val="22"/>
          <w:szCs w:val="22"/>
          <w:lang w:val="en-US"/>
        </w:rPr>
        <w:t xml:space="preserve"> to a more blended holistic payment </w:t>
      </w:r>
      <w:r w:rsidR="000F3B09">
        <w:rPr>
          <w:rFonts w:asciiTheme="minorHAnsi" w:eastAsia="Times New Roman" w:hAnsiTheme="minorHAnsi"/>
          <w:color w:val="auto"/>
          <w:sz w:val="22"/>
          <w:szCs w:val="22"/>
          <w:lang w:val="en-US"/>
        </w:rPr>
        <w:t xml:space="preserve">and one </w:t>
      </w:r>
      <w:r w:rsidRPr="0085434D">
        <w:rPr>
          <w:rFonts w:asciiTheme="minorHAnsi" w:eastAsia="Times New Roman" w:hAnsiTheme="minorHAnsi"/>
          <w:color w:val="auto"/>
          <w:sz w:val="22"/>
          <w:szCs w:val="22"/>
          <w:lang w:val="en-US"/>
        </w:rPr>
        <w:t>maintains a direct link between incentive and individual patient services.</w:t>
      </w:r>
      <w:r w:rsidR="000F3B09">
        <w:rPr>
          <w:rFonts w:asciiTheme="minorHAnsi" w:eastAsia="Times New Roman" w:hAnsiTheme="minorHAnsi"/>
          <w:color w:val="auto"/>
          <w:sz w:val="22"/>
          <w:szCs w:val="22"/>
          <w:lang w:val="en-US"/>
        </w:rPr>
        <w:t xml:space="preserve">  These options would be part of a longer term change; the IWG does not anticipate launching any of the following options, should they be approved by the GPSC, until </w:t>
      </w:r>
      <w:r w:rsidR="00246A6D">
        <w:rPr>
          <w:rFonts w:asciiTheme="minorHAnsi" w:eastAsia="Times New Roman" w:hAnsiTheme="minorHAnsi"/>
          <w:color w:val="auto"/>
          <w:sz w:val="22"/>
          <w:szCs w:val="22"/>
          <w:lang w:val="en-US"/>
        </w:rPr>
        <w:t>sometime</w:t>
      </w:r>
      <w:r w:rsidR="000F3B09">
        <w:rPr>
          <w:rFonts w:asciiTheme="minorHAnsi" w:eastAsia="Times New Roman" w:hAnsiTheme="minorHAnsi"/>
          <w:color w:val="auto"/>
          <w:sz w:val="22"/>
          <w:szCs w:val="22"/>
          <w:lang w:val="en-US"/>
        </w:rPr>
        <w:t xml:space="preserve"> in 2018.</w:t>
      </w:r>
      <w:r w:rsidR="00246A6D">
        <w:rPr>
          <w:rFonts w:asciiTheme="minorHAnsi" w:eastAsia="Times New Roman" w:hAnsiTheme="minorHAnsi"/>
          <w:color w:val="auto"/>
          <w:sz w:val="22"/>
          <w:szCs w:val="22"/>
          <w:lang w:val="en-US"/>
        </w:rPr>
        <w:t xml:space="preserve">  When determining the timing of availability, </w:t>
      </w:r>
      <w:r w:rsidR="00246A6D">
        <w:rPr>
          <w:rFonts w:asciiTheme="minorHAnsi" w:eastAsia="Times New Roman" w:hAnsiTheme="minorHAnsi"/>
          <w:color w:val="auto"/>
          <w:sz w:val="22"/>
          <w:szCs w:val="22"/>
          <w:lang w:val="en-US"/>
        </w:rPr>
        <w:lastRenderedPageBreak/>
        <w:t>consideration must be taken of the lessons learned from the past “double bump” effect when the initial 2 option Complex Care incentive was changed to the current single option Complex Care incentive.</w:t>
      </w:r>
      <w:r w:rsidR="00246A6D" w:rsidRPr="0085434D">
        <w:rPr>
          <w:rFonts w:asciiTheme="minorHAnsi" w:eastAsia="Times New Roman" w:hAnsiTheme="minorHAnsi"/>
          <w:color w:val="auto"/>
          <w:sz w:val="22"/>
          <w:szCs w:val="22"/>
          <w:lang w:val="en-US"/>
        </w:rPr>
        <w:t xml:space="preserve">    </w:t>
      </w:r>
      <w:r w:rsidRPr="0085434D">
        <w:rPr>
          <w:rFonts w:asciiTheme="minorHAnsi" w:eastAsia="Times New Roman" w:hAnsiTheme="minorHAnsi"/>
          <w:color w:val="auto"/>
          <w:sz w:val="22"/>
          <w:szCs w:val="22"/>
          <w:lang w:val="en-US"/>
        </w:rPr>
        <w:t xml:space="preserve">    </w:t>
      </w:r>
    </w:p>
    <w:p w:rsidR="0085434D" w:rsidRPr="0085434D" w:rsidRDefault="0085434D" w:rsidP="0085434D">
      <w:pPr>
        <w:numPr>
          <w:ilvl w:val="0"/>
          <w:numId w:val="16"/>
        </w:numPr>
        <w:spacing w:after="200" w:line="276" w:lineRule="auto"/>
        <w:rPr>
          <w:rFonts w:asciiTheme="minorHAnsi" w:eastAsia="Times New Roman" w:hAnsiTheme="minorHAnsi"/>
          <w:b/>
          <w:i/>
          <w:color w:val="auto"/>
          <w:sz w:val="22"/>
          <w:szCs w:val="22"/>
          <w:lang w:val="en-US"/>
        </w:rPr>
      </w:pPr>
      <w:r w:rsidRPr="0085434D">
        <w:rPr>
          <w:rFonts w:asciiTheme="minorHAnsi" w:eastAsia="Times New Roman" w:hAnsiTheme="minorHAnsi"/>
          <w:b/>
          <w:i/>
          <w:color w:val="auto"/>
          <w:sz w:val="22"/>
          <w:szCs w:val="22"/>
          <w:lang w:val="en-US"/>
        </w:rPr>
        <w:t>Quarterly Payment for Complexity Option</w:t>
      </w:r>
    </w:p>
    <w:p w:rsidR="0085434D" w:rsidRPr="0085434D" w:rsidRDefault="0085434D" w:rsidP="000F3B09">
      <w:pPr>
        <w:spacing w:after="200" w:line="276" w:lineRule="auto"/>
        <w:ind w:left="72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With the move to TBC in the PMH, GPSC could consider a quarterly payment calculated by looking at the previous year’s practice complexity and paid out in the subsequent year.   Methods might include:</w:t>
      </w:r>
    </w:p>
    <w:p w:rsidR="0085434D" w:rsidRPr="0085434D" w:rsidRDefault="0085434D" w:rsidP="000F3B09">
      <w:pPr>
        <w:numPr>
          <w:ilvl w:val="0"/>
          <w:numId w:val="12"/>
        </w:numPr>
        <w:spacing w:after="200" w:line="276" w:lineRule="auto"/>
        <w:ind w:left="180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 xml:space="preserve">Mini-profiles for each physician </w:t>
      </w:r>
    </w:p>
    <w:p w:rsidR="0085434D" w:rsidRPr="0085434D" w:rsidRDefault="0085434D" w:rsidP="000F3B09">
      <w:pPr>
        <w:numPr>
          <w:ilvl w:val="0"/>
          <w:numId w:val="12"/>
        </w:numPr>
        <w:spacing w:after="200" w:line="276" w:lineRule="auto"/>
        <w:ind w:left="180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Blue Matrix</w:t>
      </w:r>
    </w:p>
    <w:p w:rsidR="0085434D" w:rsidRPr="0085434D" w:rsidRDefault="0085434D" w:rsidP="000F3B09">
      <w:pPr>
        <w:numPr>
          <w:ilvl w:val="0"/>
          <w:numId w:val="12"/>
        </w:numPr>
        <w:spacing w:after="200" w:line="276" w:lineRule="auto"/>
        <w:ind w:left="180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Patient Demographic Calculation</w:t>
      </w:r>
    </w:p>
    <w:p w:rsidR="0085434D" w:rsidRPr="0085434D" w:rsidRDefault="0085434D" w:rsidP="000F3B09">
      <w:pPr>
        <w:spacing w:after="200" w:line="276" w:lineRule="auto"/>
        <w:ind w:left="72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 xml:space="preserve">If a BC PMH family physician accepts the quarterly payment for complexity, they would forgo billing any CDMs or Complex Care fees (including the </w:t>
      </w:r>
      <w:r w:rsidR="00BE066D">
        <w:rPr>
          <w:rFonts w:asciiTheme="minorHAnsi" w:eastAsia="Times New Roman" w:hAnsiTheme="minorHAnsi"/>
          <w:color w:val="auto"/>
          <w:sz w:val="22"/>
          <w:szCs w:val="22"/>
          <w:lang w:val="en-US"/>
        </w:rPr>
        <w:t>Planning visit</w:t>
      </w:r>
      <w:r w:rsidRPr="0085434D">
        <w:rPr>
          <w:rFonts w:asciiTheme="minorHAnsi" w:eastAsia="Times New Roman" w:hAnsiTheme="minorHAnsi"/>
          <w:color w:val="auto"/>
          <w:sz w:val="22"/>
          <w:szCs w:val="22"/>
          <w:lang w:val="en-US"/>
        </w:rPr>
        <w:t xml:space="preserve">).  GPSC could also consider whether the Mental Health and/or Palliative Care Planning visits would be included or excluded from this simplification.  </w:t>
      </w:r>
      <w:r w:rsidR="00BE066D">
        <w:rPr>
          <w:rFonts w:asciiTheme="minorHAnsi" w:eastAsia="Times New Roman" w:hAnsiTheme="minorHAnsi"/>
          <w:color w:val="auto"/>
          <w:sz w:val="22"/>
          <w:szCs w:val="22"/>
          <w:lang w:val="en-US"/>
        </w:rPr>
        <w:t>The GPSC could also consider making access to this payment model based on a commitment from the FP to the PMH model.</w:t>
      </w:r>
    </w:p>
    <w:p w:rsidR="0085434D" w:rsidRPr="0085434D" w:rsidRDefault="0085434D" w:rsidP="0085434D">
      <w:pPr>
        <w:numPr>
          <w:ilvl w:val="0"/>
          <w:numId w:val="16"/>
        </w:numPr>
        <w:spacing w:after="200" w:line="276" w:lineRule="auto"/>
        <w:rPr>
          <w:rFonts w:asciiTheme="minorHAnsi" w:eastAsia="Times New Roman" w:hAnsiTheme="minorHAnsi"/>
          <w:b/>
          <w:i/>
          <w:color w:val="auto"/>
          <w:sz w:val="22"/>
          <w:szCs w:val="22"/>
          <w:lang w:val="en-US"/>
        </w:rPr>
      </w:pPr>
      <w:r w:rsidRPr="0085434D">
        <w:rPr>
          <w:rFonts w:asciiTheme="minorHAnsi" w:eastAsia="Times New Roman" w:hAnsiTheme="minorHAnsi"/>
          <w:b/>
          <w:i/>
          <w:color w:val="auto"/>
          <w:sz w:val="22"/>
          <w:szCs w:val="22"/>
          <w:lang w:val="en-US"/>
        </w:rPr>
        <w:t>Chronic and Complex Patient Management Option</w:t>
      </w:r>
    </w:p>
    <w:p w:rsidR="0085434D" w:rsidRPr="0085434D" w:rsidRDefault="0085434D" w:rsidP="004E7D51">
      <w:pPr>
        <w:spacing w:after="200" w:line="276" w:lineRule="auto"/>
        <w:ind w:left="72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 xml:space="preserve">Combining the changes to Complex Care planning and broadened CDM payments outlined in the sections above, GPSC could  expand both the eligible patient populations and support team based care for those family physicians who do not wish to move to a quarterly payment for complexity option.  </w:t>
      </w:r>
    </w:p>
    <w:p w:rsidR="0085434D" w:rsidRPr="0085434D" w:rsidRDefault="0085434D" w:rsidP="0085434D">
      <w:pPr>
        <w:numPr>
          <w:ilvl w:val="0"/>
          <w:numId w:val="17"/>
        </w:numPr>
        <w:spacing w:after="200" w:line="276" w:lineRule="auto"/>
        <w:rPr>
          <w:rFonts w:asciiTheme="minorHAnsi" w:eastAsia="Times New Roman" w:hAnsiTheme="minorHAnsi"/>
          <w:b/>
          <w:i/>
          <w:color w:val="auto"/>
          <w:sz w:val="22"/>
          <w:szCs w:val="22"/>
          <w:lang w:val="en-US"/>
        </w:rPr>
      </w:pPr>
      <w:r w:rsidRPr="0085434D">
        <w:rPr>
          <w:rFonts w:asciiTheme="minorHAnsi" w:eastAsia="Times New Roman" w:hAnsiTheme="minorHAnsi"/>
          <w:b/>
          <w:i/>
          <w:color w:val="auto"/>
          <w:sz w:val="22"/>
          <w:szCs w:val="22"/>
          <w:lang w:val="en-US"/>
        </w:rPr>
        <w:t>Chronic/Complex Condition Management:</w:t>
      </w:r>
    </w:p>
    <w:p w:rsidR="0085434D" w:rsidRPr="0085434D" w:rsidRDefault="0085434D" w:rsidP="004E7D51">
      <w:pPr>
        <w:spacing w:after="200" w:line="276" w:lineRule="auto"/>
        <w:ind w:left="144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Utilization of guidelines to inform discussions of app</w:t>
      </w:r>
      <w:r w:rsidR="004E7D51">
        <w:rPr>
          <w:rFonts w:asciiTheme="minorHAnsi" w:eastAsia="Times New Roman" w:hAnsiTheme="minorHAnsi"/>
          <w:color w:val="auto"/>
          <w:sz w:val="22"/>
          <w:szCs w:val="22"/>
          <w:lang w:val="en-US"/>
        </w:rPr>
        <w:t xml:space="preserve">ropriate treatment options and </w:t>
      </w:r>
      <w:r w:rsidRPr="0085434D">
        <w:rPr>
          <w:rFonts w:asciiTheme="minorHAnsi" w:eastAsia="Times New Roman" w:hAnsiTheme="minorHAnsi"/>
          <w:color w:val="auto"/>
          <w:sz w:val="22"/>
          <w:szCs w:val="22"/>
          <w:lang w:val="en-US"/>
        </w:rPr>
        <w:t>monitoring of patient specific outcomes related to person</w:t>
      </w:r>
      <w:r w:rsidR="004E7D51">
        <w:rPr>
          <w:rFonts w:asciiTheme="minorHAnsi" w:eastAsia="Times New Roman" w:hAnsiTheme="minorHAnsi"/>
          <w:color w:val="auto"/>
          <w:sz w:val="22"/>
          <w:szCs w:val="22"/>
          <w:lang w:val="en-US"/>
        </w:rPr>
        <w:t xml:space="preserve">alized treatment goals over a </w:t>
      </w:r>
      <w:r w:rsidRPr="0085434D">
        <w:rPr>
          <w:rFonts w:asciiTheme="minorHAnsi" w:eastAsia="Times New Roman" w:hAnsiTheme="minorHAnsi"/>
          <w:color w:val="auto"/>
          <w:sz w:val="22"/>
          <w:szCs w:val="22"/>
          <w:lang w:val="en-US"/>
        </w:rPr>
        <w:t xml:space="preserve">12 month period.  With additional conditions comes </w:t>
      </w:r>
      <w:r w:rsidR="004E7D51">
        <w:rPr>
          <w:rFonts w:asciiTheme="minorHAnsi" w:eastAsia="Times New Roman" w:hAnsiTheme="minorHAnsi"/>
          <w:color w:val="auto"/>
          <w:sz w:val="22"/>
          <w:szCs w:val="22"/>
          <w:lang w:val="en-US"/>
        </w:rPr>
        <w:t xml:space="preserve">increasing complexity and time </w:t>
      </w:r>
      <w:r w:rsidRPr="0085434D">
        <w:rPr>
          <w:rFonts w:asciiTheme="minorHAnsi" w:eastAsia="Times New Roman" w:hAnsiTheme="minorHAnsi"/>
          <w:color w:val="auto"/>
          <w:sz w:val="22"/>
          <w:szCs w:val="22"/>
          <w:lang w:val="en-US"/>
        </w:rPr>
        <w:t xml:space="preserve">requirements, but this is not a linear association. </w:t>
      </w:r>
      <w:r w:rsidR="004E7D51">
        <w:rPr>
          <w:rFonts w:asciiTheme="minorHAnsi" w:eastAsia="Times New Roman" w:hAnsiTheme="minorHAnsi"/>
          <w:color w:val="auto"/>
          <w:sz w:val="22"/>
          <w:szCs w:val="22"/>
          <w:lang w:val="en-US"/>
        </w:rPr>
        <w:t xml:space="preserve"> A tiered approach based on the </w:t>
      </w:r>
      <w:r w:rsidRPr="0085434D">
        <w:rPr>
          <w:rFonts w:asciiTheme="minorHAnsi" w:eastAsia="Times New Roman" w:hAnsiTheme="minorHAnsi"/>
          <w:color w:val="auto"/>
          <w:sz w:val="22"/>
          <w:szCs w:val="22"/>
          <w:lang w:val="en-US"/>
        </w:rPr>
        <w:t>number of chronic conditions to a maximum is proposed.  Discussion on whether this should be payment in advance of care or after 12 months of care would be needed.</w:t>
      </w:r>
    </w:p>
    <w:p w:rsidR="0085434D" w:rsidRPr="0085434D" w:rsidRDefault="0085434D" w:rsidP="004E7D51">
      <w:pPr>
        <w:spacing w:after="200" w:line="276" w:lineRule="auto"/>
        <w:ind w:left="144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Eligible patient populations would need to be determine</w:t>
      </w:r>
      <w:r w:rsidR="004E7D51">
        <w:rPr>
          <w:rFonts w:asciiTheme="minorHAnsi" w:eastAsia="Times New Roman" w:hAnsiTheme="minorHAnsi"/>
          <w:color w:val="auto"/>
          <w:sz w:val="22"/>
          <w:szCs w:val="22"/>
          <w:lang w:val="en-US"/>
        </w:rPr>
        <w:t>d as indicated</w:t>
      </w:r>
      <w:r w:rsidRPr="0085434D">
        <w:rPr>
          <w:rFonts w:asciiTheme="minorHAnsi" w:eastAsia="Times New Roman" w:hAnsiTheme="minorHAnsi"/>
          <w:color w:val="auto"/>
          <w:sz w:val="22"/>
          <w:szCs w:val="22"/>
          <w:lang w:val="en-US"/>
        </w:rPr>
        <w:t xml:space="preserve"> above. </w:t>
      </w:r>
    </w:p>
    <w:p w:rsidR="0085434D" w:rsidRPr="0085434D" w:rsidRDefault="0085434D" w:rsidP="004E7D51">
      <w:pPr>
        <w:spacing w:after="200" w:line="276" w:lineRule="auto"/>
        <w:ind w:firstLine="720"/>
        <w:rPr>
          <w:rFonts w:asciiTheme="minorHAnsi" w:eastAsia="Times New Roman" w:hAnsiTheme="minorHAnsi"/>
          <w:b/>
          <w:i/>
          <w:color w:val="auto"/>
          <w:sz w:val="22"/>
          <w:szCs w:val="22"/>
          <w:lang w:val="en-US"/>
        </w:rPr>
      </w:pPr>
      <w:r w:rsidRPr="0085434D">
        <w:rPr>
          <w:rFonts w:asciiTheme="minorHAnsi" w:eastAsia="Times New Roman" w:hAnsiTheme="minorHAnsi"/>
          <w:b/>
          <w:i/>
          <w:color w:val="auto"/>
          <w:sz w:val="22"/>
          <w:szCs w:val="22"/>
          <w:lang w:val="en-US"/>
        </w:rPr>
        <w:t>ii.</w:t>
      </w:r>
      <w:r w:rsidRPr="0085434D">
        <w:rPr>
          <w:rFonts w:asciiTheme="minorHAnsi" w:eastAsia="Times New Roman" w:hAnsiTheme="minorHAnsi"/>
          <w:b/>
          <w:i/>
          <w:color w:val="auto"/>
          <w:sz w:val="22"/>
          <w:szCs w:val="22"/>
          <w:lang w:val="en-US"/>
        </w:rPr>
        <w:tab/>
        <w:t>Complex Patient Planning Visits:</w:t>
      </w:r>
    </w:p>
    <w:p w:rsidR="0085434D" w:rsidRPr="0085434D" w:rsidRDefault="0085434D" w:rsidP="004E7D51">
      <w:pPr>
        <w:spacing w:after="200" w:line="276" w:lineRule="auto"/>
        <w:ind w:left="144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For patients who are eligible for a Chronic/Complex Condition Management Incentive, the family physician would be able to provide a planning process as outlined in section 2 above.</w:t>
      </w:r>
    </w:p>
    <w:p w:rsidR="0085434D" w:rsidRPr="0085434D" w:rsidRDefault="0085434D" w:rsidP="004E7D51">
      <w:pPr>
        <w:spacing w:after="200" w:line="276" w:lineRule="auto"/>
        <w:ind w:left="144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lastRenderedPageBreak/>
        <w:t xml:space="preserve">Under this option, while payment for some patients would decrease, funding would be reallocated to other complex patients who currently do not qualify for any incentives   For example, funding </w:t>
      </w:r>
      <w:proofErr w:type="gramStart"/>
      <w:r w:rsidRPr="0085434D">
        <w:rPr>
          <w:rFonts w:asciiTheme="minorHAnsi" w:eastAsia="Times New Roman" w:hAnsiTheme="minorHAnsi"/>
          <w:color w:val="auto"/>
          <w:sz w:val="22"/>
          <w:szCs w:val="22"/>
          <w:lang w:val="en-US"/>
        </w:rPr>
        <w:t>for  patients</w:t>
      </w:r>
      <w:proofErr w:type="gramEnd"/>
      <w:r w:rsidRPr="0085434D">
        <w:rPr>
          <w:rFonts w:asciiTheme="minorHAnsi" w:eastAsia="Times New Roman" w:hAnsiTheme="minorHAnsi"/>
          <w:color w:val="auto"/>
          <w:sz w:val="22"/>
          <w:szCs w:val="22"/>
          <w:lang w:val="en-US"/>
        </w:rPr>
        <w:t xml:space="preserve"> with Diabetes/HF/COPD who currently qualify for $690 in incentive fees would decrease to $325 annually  ($225 CDM + $100 Planning), while others with one, two or three conditions not currently covered would have $200, $275 and $325 respectively available.</w:t>
      </w:r>
    </w:p>
    <w:p w:rsidR="0085434D" w:rsidRPr="0085434D" w:rsidRDefault="0085434D" w:rsidP="000F3B09">
      <w:pPr>
        <w:spacing w:after="200" w:line="276" w:lineRule="auto"/>
        <w:ind w:left="720"/>
        <w:rPr>
          <w:rFonts w:asciiTheme="minorHAnsi" w:eastAsia="Times New Roman" w:hAnsiTheme="minorHAnsi"/>
          <w:color w:val="auto"/>
          <w:sz w:val="22"/>
          <w:szCs w:val="22"/>
          <w:lang w:val="en-US"/>
        </w:rPr>
      </w:pPr>
      <w:r w:rsidRPr="0085434D">
        <w:rPr>
          <w:rFonts w:asciiTheme="minorHAnsi" w:eastAsia="Times New Roman" w:hAnsiTheme="minorHAnsi"/>
          <w:color w:val="auto"/>
          <w:sz w:val="22"/>
          <w:szCs w:val="22"/>
          <w:lang w:val="en-US"/>
        </w:rPr>
        <w:t xml:space="preserve">Before moving in either/both of these directions, GPSC needs  a cost analysis not only for  budgeting purposes, but more importantly,  to understand the business case and cost impact for FPs currently billing these fees in low, medium and high billing categories. The annual expenditures for the 4 CDM and 2 Complex Care Incentives </w:t>
      </w:r>
      <w:proofErr w:type="gramStart"/>
      <w:r w:rsidRPr="0085434D">
        <w:rPr>
          <w:rFonts w:asciiTheme="minorHAnsi" w:eastAsia="Times New Roman" w:hAnsiTheme="minorHAnsi"/>
          <w:color w:val="auto"/>
          <w:sz w:val="22"/>
          <w:szCs w:val="22"/>
          <w:lang w:val="en-US"/>
        </w:rPr>
        <w:t>is</w:t>
      </w:r>
      <w:proofErr w:type="gramEnd"/>
      <w:r w:rsidRPr="0085434D">
        <w:rPr>
          <w:rFonts w:asciiTheme="minorHAnsi" w:eastAsia="Times New Roman" w:hAnsiTheme="minorHAnsi"/>
          <w:color w:val="auto"/>
          <w:sz w:val="22"/>
          <w:szCs w:val="22"/>
          <w:lang w:val="en-US"/>
        </w:rPr>
        <w:t xml:space="preserve"> ~ $120 M combined.</w:t>
      </w:r>
    </w:p>
    <w:p w:rsidR="0085434D" w:rsidRPr="005236D3" w:rsidRDefault="0085434D" w:rsidP="00AE5F57">
      <w:pPr>
        <w:spacing w:after="200" w:line="276" w:lineRule="auto"/>
        <w:rPr>
          <w:rFonts w:asciiTheme="minorHAnsi" w:eastAsia="Times New Roman" w:hAnsiTheme="minorHAnsi"/>
          <w:color w:val="auto"/>
          <w:sz w:val="22"/>
          <w:szCs w:val="22"/>
          <w:lang w:val="en-CA"/>
        </w:rPr>
      </w:pPr>
    </w:p>
    <w:p w:rsidR="00075BA2" w:rsidRDefault="00120A64" w:rsidP="00075BA2">
      <w:pPr>
        <w:rPr>
          <w:rFonts w:asciiTheme="minorHAnsi" w:hAnsiTheme="minorHAnsi"/>
          <w:sz w:val="22"/>
          <w:szCs w:val="22"/>
        </w:rPr>
      </w:pPr>
      <w:r>
        <w:rPr>
          <w:rFonts w:asciiTheme="minorHAnsi" w:hAnsiTheme="minorHAnsi"/>
          <w:b/>
        </w:rPr>
        <w:t>DECISION</w:t>
      </w:r>
      <w:r w:rsidR="002A5811">
        <w:rPr>
          <w:rFonts w:asciiTheme="minorHAnsi" w:hAnsiTheme="minorHAnsi"/>
          <w:b/>
        </w:rPr>
        <w:t>S</w:t>
      </w:r>
      <w:r>
        <w:rPr>
          <w:rFonts w:asciiTheme="minorHAnsi" w:hAnsiTheme="minorHAnsi"/>
          <w:b/>
        </w:rPr>
        <w:t xml:space="preserve"> REQUIRED</w:t>
      </w:r>
    </w:p>
    <w:p w:rsidR="00075BA2" w:rsidRPr="00AC2652" w:rsidRDefault="00075BA2" w:rsidP="00075BA2">
      <w:pPr>
        <w:rPr>
          <w:rFonts w:asciiTheme="minorHAnsi" w:hAnsiTheme="minorHAnsi"/>
          <w:b/>
          <w:sz w:val="22"/>
          <w:szCs w:val="22"/>
        </w:rPr>
      </w:pPr>
    </w:p>
    <w:p w:rsidR="00915FFB" w:rsidRDefault="000F3B09" w:rsidP="00075BA2">
      <w:pPr>
        <w:rPr>
          <w:rFonts w:asciiTheme="minorHAnsi" w:hAnsiTheme="minorHAnsi"/>
          <w:sz w:val="22"/>
          <w:szCs w:val="22"/>
        </w:rPr>
      </w:pPr>
      <w:r>
        <w:rPr>
          <w:rFonts w:asciiTheme="minorHAnsi" w:hAnsiTheme="minorHAnsi"/>
          <w:sz w:val="22"/>
          <w:szCs w:val="22"/>
        </w:rPr>
        <w:t>Does the GPSC want the IWG to stop pursuing any of the options above?</w:t>
      </w:r>
    </w:p>
    <w:p w:rsidR="00FD517C" w:rsidRDefault="00FD517C" w:rsidP="00075BA2">
      <w:pPr>
        <w:rPr>
          <w:rFonts w:asciiTheme="minorHAnsi" w:hAnsiTheme="minorHAnsi"/>
          <w:sz w:val="22"/>
          <w:szCs w:val="22"/>
        </w:rPr>
      </w:pPr>
    </w:p>
    <w:p w:rsidR="00075BA2" w:rsidRDefault="00075BA2" w:rsidP="00075BA2">
      <w:pPr>
        <w:pStyle w:val="ListParagraph"/>
        <w:ind w:left="0"/>
        <w:rPr>
          <w:rFonts w:asciiTheme="minorHAnsi" w:hAnsiTheme="minorHAnsi"/>
          <w:b/>
          <w:sz w:val="22"/>
          <w:szCs w:val="22"/>
        </w:rPr>
      </w:pPr>
    </w:p>
    <w:p w:rsidR="00075BA2" w:rsidRPr="00F65FDB" w:rsidRDefault="00075BA2" w:rsidP="00075BA2">
      <w:pPr>
        <w:rPr>
          <w:rFonts w:asciiTheme="minorHAnsi" w:hAnsiTheme="minorHAnsi"/>
          <w:b/>
        </w:rPr>
      </w:pPr>
      <w:r w:rsidRPr="00F65FDB">
        <w:rPr>
          <w:rFonts w:asciiTheme="minorHAnsi" w:hAnsiTheme="minorHAnsi"/>
          <w:b/>
        </w:rPr>
        <w:t>I</w:t>
      </w:r>
      <w:r>
        <w:rPr>
          <w:rFonts w:asciiTheme="minorHAnsi" w:hAnsiTheme="minorHAnsi"/>
          <w:b/>
        </w:rPr>
        <w:t>S</w:t>
      </w:r>
      <w:r w:rsidRPr="00F65FDB">
        <w:rPr>
          <w:rFonts w:asciiTheme="minorHAnsi" w:hAnsiTheme="minorHAnsi"/>
          <w:b/>
        </w:rPr>
        <w:t xml:space="preserve"> THIS IS A FUNDING REQUEST</w:t>
      </w:r>
      <w:r>
        <w:rPr>
          <w:rFonts w:asciiTheme="minorHAnsi" w:hAnsiTheme="minorHAnsi"/>
          <w:b/>
        </w:rPr>
        <w:t>?</w:t>
      </w:r>
    </w:p>
    <w:bookmarkStart w:id="0" w:name="_GoBack"/>
    <w:p w:rsidR="00075BA2" w:rsidRPr="00151B4D" w:rsidRDefault="000B2491" w:rsidP="00075BA2">
      <w:pPr>
        <w:spacing w:before="120"/>
        <w:ind w:left="821" w:hanging="288"/>
        <w:jc w:val="both"/>
        <w:rPr>
          <w:rFonts w:asciiTheme="minorHAnsi" w:hAnsiTheme="minorHAnsi"/>
          <w:sz w:val="32"/>
        </w:rPr>
      </w:pPr>
      <w:r>
        <w:rPr>
          <w:rFonts w:asciiTheme="minorHAnsi" w:eastAsia="Times New Roman" w:hAnsiTheme="minorHAnsi"/>
          <w:color w:val="auto"/>
          <w:sz w:val="20"/>
          <w:lang w:val="en-CA"/>
        </w:rPr>
        <w:fldChar w:fldCharType="begin">
          <w:ffData>
            <w:name w:val="Check1"/>
            <w:enabled/>
            <w:calcOnExit w:val="0"/>
            <w:checkBox>
              <w:sizeAuto/>
              <w:default w:val="1"/>
            </w:checkBox>
          </w:ffData>
        </w:fldChar>
      </w:r>
      <w:bookmarkStart w:id="1" w:name="Check1"/>
      <w:r>
        <w:rPr>
          <w:rFonts w:asciiTheme="minorHAnsi" w:eastAsia="Times New Roman" w:hAnsiTheme="minorHAnsi"/>
          <w:color w:val="auto"/>
          <w:sz w:val="20"/>
          <w:lang w:val="en-CA"/>
        </w:rPr>
        <w:instrText xml:space="preserve"> FORMCHECKBOX </w:instrText>
      </w:r>
      <w:r>
        <w:rPr>
          <w:rFonts w:asciiTheme="minorHAnsi" w:eastAsia="Times New Roman" w:hAnsiTheme="minorHAnsi"/>
          <w:color w:val="auto"/>
          <w:sz w:val="20"/>
          <w:lang w:val="en-CA"/>
        </w:rPr>
      </w:r>
      <w:r>
        <w:rPr>
          <w:rFonts w:asciiTheme="minorHAnsi" w:eastAsia="Times New Roman" w:hAnsiTheme="minorHAnsi"/>
          <w:color w:val="auto"/>
          <w:sz w:val="20"/>
          <w:lang w:val="en-CA"/>
        </w:rPr>
        <w:fldChar w:fldCharType="end"/>
      </w:r>
      <w:bookmarkEnd w:id="1"/>
      <w:bookmarkEnd w:id="0"/>
      <w:r w:rsidR="00075BA2">
        <w:rPr>
          <w:rFonts w:asciiTheme="minorHAnsi" w:eastAsia="Times New Roman" w:hAnsiTheme="minorHAnsi"/>
          <w:color w:val="auto"/>
          <w:sz w:val="20"/>
          <w:lang w:val="en-CA"/>
        </w:rPr>
        <w:t xml:space="preserve">   </w:t>
      </w:r>
      <w:r w:rsidR="00075BA2">
        <w:rPr>
          <w:rFonts w:asciiTheme="minorHAnsi" w:eastAsia="Times New Roman" w:hAnsiTheme="minorHAnsi"/>
          <w:color w:val="auto"/>
          <w:lang w:val="en-CA"/>
        </w:rPr>
        <w:t>No</w:t>
      </w:r>
      <w:r w:rsidR="00075BA2" w:rsidRPr="00151B4D">
        <w:rPr>
          <w:rFonts w:asciiTheme="minorHAnsi" w:eastAsia="Times New Roman" w:hAnsiTheme="minorHAnsi"/>
          <w:color w:val="auto"/>
          <w:lang w:val="en-CA"/>
        </w:rPr>
        <w:tab/>
      </w:r>
      <w:r w:rsidR="00075BA2" w:rsidRPr="00151B4D">
        <w:rPr>
          <w:rFonts w:asciiTheme="minorHAnsi" w:eastAsia="Times New Roman" w:hAnsiTheme="minorHAnsi"/>
          <w:color w:val="auto"/>
          <w:lang w:val="en-CA"/>
        </w:rPr>
        <w:tab/>
      </w:r>
      <w:r w:rsidR="00075BA2" w:rsidRPr="00F65FDB">
        <w:rPr>
          <w:rFonts w:asciiTheme="minorHAnsi" w:eastAsia="Times New Roman" w:hAnsiTheme="minorHAnsi"/>
          <w:color w:val="auto"/>
          <w:sz w:val="20"/>
          <w:lang w:val="en-CA"/>
        </w:rPr>
        <w:fldChar w:fldCharType="begin" w:fldLock="1">
          <w:ffData>
            <w:name w:val="Check1"/>
            <w:enabled/>
            <w:calcOnExit w:val="0"/>
            <w:checkBox>
              <w:sizeAuto/>
              <w:default w:val="0"/>
            </w:checkBox>
          </w:ffData>
        </w:fldChar>
      </w:r>
      <w:r w:rsidR="00075BA2" w:rsidRPr="00F65FDB">
        <w:rPr>
          <w:rFonts w:asciiTheme="minorHAnsi" w:eastAsia="Times New Roman" w:hAnsiTheme="minorHAnsi"/>
          <w:color w:val="auto"/>
          <w:sz w:val="20"/>
          <w:lang w:val="en-CA"/>
        </w:rPr>
        <w:instrText xml:space="preserve"> FORMCHECKBOX </w:instrText>
      </w:r>
      <w:r w:rsidR="000B697A">
        <w:rPr>
          <w:rFonts w:asciiTheme="minorHAnsi" w:eastAsia="Times New Roman" w:hAnsiTheme="minorHAnsi"/>
          <w:color w:val="auto"/>
          <w:sz w:val="20"/>
          <w:lang w:val="en-CA"/>
        </w:rPr>
      </w:r>
      <w:r w:rsidR="000B697A">
        <w:rPr>
          <w:rFonts w:asciiTheme="minorHAnsi" w:eastAsia="Times New Roman" w:hAnsiTheme="minorHAnsi"/>
          <w:color w:val="auto"/>
          <w:sz w:val="20"/>
          <w:lang w:val="en-CA"/>
        </w:rPr>
        <w:fldChar w:fldCharType="separate"/>
      </w:r>
      <w:r w:rsidR="00075BA2" w:rsidRPr="00F65FDB">
        <w:rPr>
          <w:rFonts w:asciiTheme="minorHAnsi" w:eastAsia="Times New Roman" w:hAnsiTheme="minorHAnsi"/>
          <w:color w:val="auto"/>
          <w:sz w:val="20"/>
          <w:lang w:val="en-CA"/>
        </w:rPr>
        <w:fldChar w:fldCharType="end"/>
      </w:r>
      <w:r w:rsidR="00075BA2">
        <w:rPr>
          <w:rFonts w:asciiTheme="minorHAnsi" w:eastAsia="Times New Roman" w:hAnsiTheme="minorHAnsi"/>
          <w:color w:val="auto"/>
          <w:sz w:val="20"/>
          <w:lang w:val="en-CA"/>
        </w:rPr>
        <w:t xml:space="preserve">  </w:t>
      </w:r>
      <w:r w:rsidR="00075BA2">
        <w:rPr>
          <w:rFonts w:asciiTheme="minorHAnsi" w:eastAsia="Times New Roman" w:hAnsiTheme="minorHAnsi"/>
          <w:color w:val="auto"/>
          <w:lang w:val="en-CA"/>
        </w:rPr>
        <w:t>Yes</w:t>
      </w:r>
    </w:p>
    <w:p w:rsidR="00075BA2" w:rsidRDefault="00075BA2" w:rsidP="00075BA2">
      <w:pPr>
        <w:spacing w:before="120" w:after="120"/>
        <w:ind w:firstLine="533"/>
        <w:rPr>
          <w:rFonts w:asciiTheme="minorHAnsi" w:hAnsiTheme="minorHAnsi"/>
        </w:rPr>
      </w:pPr>
      <w:r w:rsidRPr="00F65FDB">
        <w:rPr>
          <w:rFonts w:asciiTheme="minorHAnsi" w:hAnsiTheme="minorHAnsi"/>
        </w:rPr>
        <w:t xml:space="preserve">If yes, </w:t>
      </w:r>
      <w:r w:rsidRPr="00E3494E">
        <w:rPr>
          <w:rFonts w:asciiTheme="minorHAnsi" w:hAnsiTheme="minorHAnsi"/>
          <w:i/>
        </w:rPr>
        <w:t>where applicable identify other funding sources/amounts</w:t>
      </w:r>
      <w:r>
        <w:rPr>
          <w:rFonts w:asciiTheme="minorHAnsi" w:hAnsiTheme="minorHAnsi"/>
          <w:i/>
        </w:rPr>
        <w:t>:</w:t>
      </w:r>
      <w:r w:rsidRPr="00F65FDB">
        <w:rPr>
          <w:rFonts w:asciiTheme="minorHAnsi" w:hAnsiTheme="minorHAnsi"/>
        </w:rPr>
        <w:t xml:space="preserve">  </w:t>
      </w:r>
    </w:p>
    <w:tbl>
      <w:tblPr>
        <w:tblStyle w:val="TableGrid"/>
        <w:tblW w:w="0" w:type="auto"/>
        <w:tblInd w:w="648" w:type="dxa"/>
        <w:tblLook w:val="04E0" w:firstRow="1" w:lastRow="1" w:firstColumn="1" w:lastColumn="0" w:noHBand="0" w:noVBand="1"/>
      </w:tblPr>
      <w:tblGrid>
        <w:gridCol w:w="6210"/>
        <w:gridCol w:w="1350"/>
      </w:tblGrid>
      <w:tr w:rsidR="00075BA2" w:rsidTr="008A0B7A">
        <w:tc>
          <w:tcPr>
            <w:tcW w:w="6210" w:type="dxa"/>
            <w:tcBorders>
              <w:right w:val="nil"/>
            </w:tcBorders>
          </w:tcPr>
          <w:p w:rsidR="00075BA2" w:rsidRDefault="00075BA2" w:rsidP="008A0B7A">
            <w:pPr>
              <w:spacing w:before="120"/>
              <w:rPr>
                <w:rFonts w:asciiTheme="minorHAnsi" w:hAnsiTheme="minorHAnsi"/>
                <w:b/>
              </w:rPr>
            </w:pPr>
            <w:r>
              <w:rPr>
                <w:rFonts w:asciiTheme="minorHAnsi" w:hAnsiTheme="minorHAnsi"/>
                <w:b/>
              </w:rPr>
              <w:t>Source</w:t>
            </w:r>
          </w:p>
        </w:tc>
        <w:tc>
          <w:tcPr>
            <w:tcW w:w="1350" w:type="dxa"/>
            <w:tcBorders>
              <w:left w:val="nil"/>
            </w:tcBorders>
          </w:tcPr>
          <w:p w:rsidR="00075BA2" w:rsidRDefault="00075BA2" w:rsidP="008A0B7A">
            <w:pPr>
              <w:spacing w:before="120"/>
              <w:rPr>
                <w:rFonts w:asciiTheme="minorHAnsi" w:hAnsiTheme="minorHAnsi"/>
                <w:b/>
              </w:rPr>
            </w:pPr>
            <w:r>
              <w:rPr>
                <w:rFonts w:asciiTheme="minorHAnsi" w:hAnsiTheme="minorHAnsi"/>
                <w:b/>
              </w:rPr>
              <w:t>Amount</w:t>
            </w:r>
          </w:p>
        </w:tc>
      </w:tr>
      <w:tr w:rsidR="00075BA2" w:rsidTr="008A0B7A">
        <w:tc>
          <w:tcPr>
            <w:tcW w:w="6210" w:type="dxa"/>
            <w:tcBorders>
              <w:right w:val="nil"/>
            </w:tcBorders>
          </w:tcPr>
          <w:p w:rsidR="00075BA2" w:rsidRDefault="00075BA2" w:rsidP="008A0B7A">
            <w:pPr>
              <w:spacing w:before="120"/>
              <w:rPr>
                <w:rFonts w:asciiTheme="minorHAnsi" w:hAnsiTheme="minorHAnsi"/>
                <w:b/>
              </w:rPr>
            </w:pPr>
          </w:p>
        </w:tc>
        <w:tc>
          <w:tcPr>
            <w:tcW w:w="1350" w:type="dxa"/>
            <w:tcBorders>
              <w:left w:val="nil"/>
            </w:tcBorders>
          </w:tcPr>
          <w:p w:rsidR="00075BA2" w:rsidRDefault="00075BA2" w:rsidP="008A0B7A">
            <w:pPr>
              <w:spacing w:before="120"/>
              <w:jc w:val="right"/>
              <w:rPr>
                <w:rFonts w:asciiTheme="minorHAnsi" w:hAnsiTheme="minorHAnsi"/>
                <w:b/>
              </w:rPr>
            </w:pPr>
          </w:p>
        </w:tc>
      </w:tr>
      <w:tr w:rsidR="00075BA2" w:rsidTr="008A0B7A">
        <w:tc>
          <w:tcPr>
            <w:tcW w:w="6210" w:type="dxa"/>
            <w:tcBorders>
              <w:bottom w:val="double" w:sz="4" w:space="0" w:color="auto"/>
              <w:right w:val="nil"/>
            </w:tcBorders>
          </w:tcPr>
          <w:p w:rsidR="00075BA2" w:rsidRDefault="00075BA2" w:rsidP="008A0B7A">
            <w:pPr>
              <w:spacing w:before="120"/>
              <w:rPr>
                <w:rFonts w:asciiTheme="minorHAnsi" w:hAnsiTheme="minorHAnsi"/>
                <w:b/>
              </w:rPr>
            </w:pPr>
          </w:p>
        </w:tc>
        <w:tc>
          <w:tcPr>
            <w:tcW w:w="1350" w:type="dxa"/>
            <w:tcBorders>
              <w:left w:val="nil"/>
              <w:bottom w:val="double" w:sz="4" w:space="0" w:color="auto"/>
            </w:tcBorders>
          </w:tcPr>
          <w:p w:rsidR="00075BA2" w:rsidRDefault="00075BA2" w:rsidP="008A0B7A">
            <w:pPr>
              <w:spacing w:before="120"/>
              <w:jc w:val="right"/>
              <w:rPr>
                <w:rFonts w:asciiTheme="minorHAnsi" w:hAnsiTheme="minorHAnsi"/>
                <w:b/>
              </w:rPr>
            </w:pPr>
          </w:p>
        </w:tc>
      </w:tr>
      <w:tr w:rsidR="00075BA2" w:rsidTr="008A0B7A">
        <w:tc>
          <w:tcPr>
            <w:tcW w:w="6210" w:type="dxa"/>
            <w:tcBorders>
              <w:top w:val="double" w:sz="4" w:space="0" w:color="auto"/>
              <w:right w:val="nil"/>
            </w:tcBorders>
          </w:tcPr>
          <w:p w:rsidR="00075BA2" w:rsidRDefault="00075BA2" w:rsidP="008A0B7A">
            <w:pPr>
              <w:spacing w:before="120"/>
              <w:rPr>
                <w:rFonts w:asciiTheme="minorHAnsi" w:hAnsiTheme="minorHAnsi"/>
                <w:b/>
              </w:rPr>
            </w:pPr>
            <w:r>
              <w:rPr>
                <w:rFonts w:asciiTheme="minorHAnsi" w:hAnsiTheme="minorHAnsi"/>
                <w:b/>
              </w:rPr>
              <w:t>Total</w:t>
            </w:r>
          </w:p>
        </w:tc>
        <w:tc>
          <w:tcPr>
            <w:tcW w:w="1350" w:type="dxa"/>
            <w:tcBorders>
              <w:top w:val="double" w:sz="4" w:space="0" w:color="auto"/>
              <w:left w:val="nil"/>
            </w:tcBorders>
          </w:tcPr>
          <w:p w:rsidR="00075BA2" w:rsidRDefault="00075BA2" w:rsidP="008A0B7A">
            <w:pPr>
              <w:spacing w:before="120"/>
              <w:jc w:val="right"/>
              <w:rPr>
                <w:rFonts w:asciiTheme="minorHAnsi" w:hAnsiTheme="minorHAnsi"/>
                <w:b/>
              </w:rPr>
            </w:pPr>
            <w:r>
              <w:rPr>
                <w:rFonts w:asciiTheme="minorHAnsi" w:hAnsiTheme="minorHAnsi"/>
                <w:b/>
              </w:rPr>
              <w:fldChar w:fldCharType="begin"/>
            </w:r>
            <w:r>
              <w:rPr>
                <w:rFonts w:asciiTheme="minorHAnsi" w:hAnsiTheme="minorHAnsi"/>
                <w:b/>
              </w:rPr>
              <w:instrText xml:space="preserve"> =Sum(above) </w:instrText>
            </w:r>
            <w:r>
              <w:rPr>
                <w:rFonts w:asciiTheme="minorHAnsi" w:hAnsiTheme="minorHAnsi"/>
                <w:b/>
              </w:rPr>
              <w:fldChar w:fldCharType="separate"/>
            </w:r>
            <w:r>
              <w:rPr>
                <w:rFonts w:asciiTheme="minorHAnsi" w:hAnsiTheme="minorHAnsi"/>
                <w:b/>
                <w:noProof/>
              </w:rPr>
              <w:t>0</w:t>
            </w:r>
            <w:r>
              <w:rPr>
                <w:rFonts w:asciiTheme="minorHAnsi" w:hAnsiTheme="minorHAnsi"/>
                <w:b/>
              </w:rPr>
              <w:fldChar w:fldCharType="end"/>
            </w:r>
          </w:p>
        </w:tc>
      </w:tr>
    </w:tbl>
    <w:p w:rsidR="00075BA2" w:rsidRPr="00E3494E" w:rsidRDefault="00075BA2" w:rsidP="00075BA2">
      <w:pPr>
        <w:rPr>
          <w:rFonts w:asciiTheme="minorHAnsi" w:eastAsia="Times New Roman" w:hAnsiTheme="minorHAnsi"/>
          <w:color w:val="auto"/>
        </w:rPr>
      </w:pPr>
    </w:p>
    <w:p w:rsidR="00075BA2" w:rsidRDefault="00075BA2" w:rsidP="00075BA2">
      <w:pPr>
        <w:rPr>
          <w:rFonts w:asciiTheme="minorHAnsi" w:hAnsiTheme="minorHAnsi"/>
          <w:b/>
        </w:rPr>
      </w:pPr>
    </w:p>
    <w:p w:rsidR="00075BA2" w:rsidRDefault="00075BA2" w:rsidP="00075BA2">
      <w:pPr>
        <w:rPr>
          <w:rFonts w:asciiTheme="minorHAnsi" w:hAnsiTheme="minorHAnsi"/>
          <w:b/>
        </w:rPr>
      </w:pPr>
      <w:r>
        <w:rPr>
          <w:rFonts w:asciiTheme="minorHAnsi" w:hAnsiTheme="minorHAnsi"/>
          <w:b/>
        </w:rPr>
        <w:t>ALIGNMENT WITH GPSC AND HEALTH SYSTEM PRIORITIES:</w:t>
      </w:r>
    </w:p>
    <w:p w:rsidR="00075BA2" w:rsidRPr="00E3494E" w:rsidRDefault="00075BA2" w:rsidP="00075BA2">
      <w:pPr>
        <w:rPr>
          <w:rFonts w:asciiTheme="minorHAnsi" w:eastAsia="Times New Roman" w:hAnsiTheme="minorHAnsi"/>
          <w:color w:val="auto"/>
        </w:rPr>
      </w:pPr>
    </w:p>
    <w:p w:rsidR="00075BA2" w:rsidRDefault="00075BA2" w:rsidP="00075BA2">
      <w:pPr>
        <w:rPr>
          <w:rFonts w:asciiTheme="minorHAnsi" w:eastAsia="Times New Roman" w:hAnsiTheme="minorHAnsi"/>
          <w:i/>
          <w:color w:val="auto"/>
          <w:sz w:val="20"/>
          <w:szCs w:val="20"/>
          <w:lang w:eastAsia="en-CA"/>
        </w:rPr>
      </w:pPr>
      <w:r>
        <w:rPr>
          <w:rFonts w:asciiTheme="minorHAnsi" w:hAnsiTheme="minorHAnsi"/>
          <w:b/>
        </w:rPr>
        <w:t xml:space="preserve">SUMMARY OF </w:t>
      </w:r>
      <w:r w:rsidRPr="00F65FDB">
        <w:rPr>
          <w:rFonts w:asciiTheme="minorHAnsi" w:hAnsiTheme="minorHAnsi"/>
          <w:b/>
        </w:rPr>
        <w:t xml:space="preserve">PREVIOUS </w:t>
      </w:r>
      <w:r>
        <w:rPr>
          <w:rFonts w:asciiTheme="minorHAnsi" w:hAnsiTheme="minorHAnsi"/>
          <w:b/>
        </w:rPr>
        <w:t xml:space="preserve">GPSC CONSULTATION &amp;/OR </w:t>
      </w:r>
      <w:r w:rsidRPr="00F65FDB">
        <w:rPr>
          <w:rFonts w:asciiTheme="minorHAnsi" w:hAnsiTheme="minorHAnsi"/>
          <w:b/>
        </w:rPr>
        <w:t>RECOMMENDATIONS</w:t>
      </w:r>
      <w:r>
        <w:rPr>
          <w:rFonts w:asciiTheme="minorHAnsi" w:hAnsiTheme="minorHAnsi"/>
          <w:b/>
        </w:rPr>
        <w:t xml:space="preserve"> </w:t>
      </w:r>
    </w:p>
    <w:p w:rsidR="00992EAD" w:rsidRPr="000F3B09" w:rsidRDefault="00992EAD" w:rsidP="000F3B09">
      <w:pPr>
        <w:spacing w:after="200" w:line="276" w:lineRule="auto"/>
      </w:pPr>
    </w:p>
    <w:sectPr w:rsidR="00992EAD" w:rsidRPr="000F3B09" w:rsidSect="000F3B09">
      <w:headerReference w:type="even" r:id="rId12"/>
      <w:headerReference w:type="default" r:id="rId13"/>
      <w:footerReference w:type="even" r:id="rId14"/>
      <w:footerReference w:type="default" r:id="rId15"/>
      <w:headerReference w:type="first" r:id="rId16"/>
      <w:footerReference w:type="first" r:id="rId17"/>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7A" w:rsidRDefault="000B697A">
      <w:r>
        <w:separator/>
      </w:r>
    </w:p>
  </w:endnote>
  <w:endnote w:type="continuationSeparator" w:id="0">
    <w:p w:rsidR="000B697A" w:rsidRDefault="000B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Geneva">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18" w:rsidRDefault="000B6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89745"/>
      <w:docPartObj>
        <w:docPartGallery w:val="Page Numbers (Bottom of Page)"/>
        <w:docPartUnique/>
      </w:docPartObj>
    </w:sdtPr>
    <w:sdtEndPr>
      <w:rPr>
        <w:noProof/>
      </w:rPr>
    </w:sdtEndPr>
    <w:sdtContent>
      <w:p w:rsidR="005B5E59" w:rsidRDefault="00DF38F2">
        <w:pPr>
          <w:pStyle w:val="Footer"/>
          <w:jc w:val="right"/>
        </w:pPr>
        <w:r>
          <w:fldChar w:fldCharType="begin"/>
        </w:r>
        <w:r>
          <w:instrText xml:space="preserve"> PAGE   \* MERGEFORMAT </w:instrText>
        </w:r>
        <w:r>
          <w:fldChar w:fldCharType="separate"/>
        </w:r>
        <w:r w:rsidR="000B2491">
          <w:rPr>
            <w:noProof/>
          </w:rPr>
          <w:t>5</w:t>
        </w:r>
        <w:r>
          <w:rPr>
            <w:noProof/>
          </w:rPr>
          <w:fldChar w:fldCharType="end"/>
        </w:r>
      </w:p>
    </w:sdtContent>
  </w:sdt>
  <w:p w:rsidR="00262182" w:rsidRDefault="000B6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06" w:rsidRDefault="00DF38F2">
    <w:pPr>
      <w:pStyle w:val="Footer"/>
    </w:pPr>
    <w:r>
      <w:rPr>
        <w:noProof/>
        <w:lang w:val="en-US"/>
      </w:rPr>
      <w:drawing>
        <wp:anchor distT="0" distB="0" distL="114300" distR="114300" simplePos="0" relativeHeight="251657728" behindDoc="1" locked="0" layoutInCell="1" allowOverlap="1" wp14:anchorId="28706805" wp14:editId="7B5351B1">
          <wp:simplePos x="0" y="0"/>
          <wp:positionH relativeFrom="column">
            <wp:posOffset>4817745</wp:posOffset>
          </wp:positionH>
          <wp:positionV relativeFrom="paragraph">
            <wp:posOffset>-63500</wp:posOffset>
          </wp:positionV>
          <wp:extent cx="1866900" cy="548640"/>
          <wp:effectExtent l="0" t="0" r="0" b="3810"/>
          <wp:wrapTight wrapText="bothSides">
            <wp:wrapPolygon edited="0">
              <wp:start x="0" y="0"/>
              <wp:lineTo x="0" y="21000"/>
              <wp:lineTo x="21380" y="21000"/>
              <wp:lineTo x="213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s-of-BC_MoH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5486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4671F740" wp14:editId="1D272725">
              <wp:simplePos x="0" y="0"/>
              <wp:positionH relativeFrom="column">
                <wp:posOffset>-568960</wp:posOffset>
              </wp:positionH>
              <wp:positionV relativeFrom="paragraph">
                <wp:posOffset>34290</wp:posOffset>
              </wp:positionV>
              <wp:extent cx="3990975" cy="2222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22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F2606" w:rsidRPr="00F43667" w:rsidRDefault="00DF38F2" w:rsidP="00AF2606">
                          <w:pPr>
                            <w:rPr>
                              <w:color w:val="A6A6A6"/>
                              <w:sz w:val="18"/>
                              <w:szCs w:val="18"/>
                            </w:rPr>
                          </w:pPr>
                          <w:r w:rsidRPr="00F43667">
                            <w:rPr>
                              <w:color w:val="A6A6A6"/>
                              <w:sz w:val="18"/>
                              <w:szCs w:val="18"/>
                            </w:rPr>
                            <w:t xml:space="preserve">Suite 115, 1665 West Broadway, Vancouver, </w:t>
                          </w:r>
                          <w:proofErr w:type="gramStart"/>
                          <w:r w:rsidRPr="00F43667">
                            <w:rPr>
                              <w:color w:val="A6A6A6"/>
                              <w:sz w:val="18"/>
                              <w:szCs w:val="18"/>
                            </w:rPr>
                            <w:t>BC  V6J</w:t>
                          </w:r>
                          <w:proofErr w:type="gramEnd"/>
                          <w:r w:rsidRPr="00F43667">
                            <w:rPr>
                              <w:color w:val="A6A6A6"/>
                              <w:sz w:val="18"/>
                              <w:szCs w:val="18"/>
                            </w:rPr>
                            <w:t xml:space="preserve"> 5A4  |  www.doctorsofbc.ca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pt;margin-top:2.7pt;width:314.25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" filled="f" stroked="f">
              <v:path arrowok="t"/>
              <v:textbox>
                <w:txbxContent>
                  <w:p w:rsidR="00AF2606" w:rsidRPr="00F43667" w:rsidRDefault="00DF38F2" w:rsidP="00AF2606">
                    <w:pPr>
                      <w:rPr>
                        <w:color w:val="A6A6A6"/>
                        <w:sz w:val="18"/>
                        <w:szCs w:val="18"/>
                      </w:rPr>
                    </w:pPr>
                    <w:r w:rsidRPr="00F43667">
                      <w:rPr>
                        <w:color w:val="A6A6A6"/>
                        <w:sz w:val="18"/>
                        <w:szCs w:val="18"/>
                      </w:rPr>
                      <w:t>Suite 115, 1665 West Broadway, Vancouver, BC  V6J 5A4  |  www.doctorsofbc.ca</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7A" w:rsidRDefault="000B697A">
      <w:r>
        <w:separator/>
      </w:r>
    </w:p>
  </w:footnote>
  <w:footnote w:type="continuationSeparator" w:id="0">
    <w:p w:rsidR="000B697A" w:rsidRDefault="000B6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18" w:rsidRDefault="000B6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82" w:rsidRDefault="000B6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06" w:rsidRDefault="00DF38F2">
    <w:pPr>
      <w:pStyle w:val="Header"/>
    </w:pPr>
    <w:r>
      <w:rPr>
        <w:noProof/>
        <w:lang w:val="en-US"/>
      </w:rPr>
      <w:drawing>
        <wp:inline distT="0" distB="0" distL="0" distR="0" wp14:anchorId="7190C1D4" wp14:editId="5968E6F0">
          <wp:extent cx="2313432" cy="7772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777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691"/>
    <w:multiLevelType w:val="hybridMultilevel"/>
    <w:tmpl w:val="69AC7ABC"/>
    <w:lvl w:ilvl="0" w:tplc="10090019">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
    <w:nsid w:val="1087406B"/>
    <w:multiLevelType w:val="hybridMultilevel"/>
    <w:tmpl w:val="266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78B4"/>
    <w:multiLevelType w:val="hybridMultilevel"/>
    <w:tmpl w:val="EB4A108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27BD32DC"/>
    <w:multiLevelType w:val="hybridMultilevel"/>
    <w:tmpl w:val="DC1EF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CB3B13"/>
    <w:multiLevelType w:val="hybridMultilevel"/>
    <w:tmpl w:val="30963E60"/>
    <w:lvl w:ilvl="0" w:tplc="4BAA1D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191855"/>
    <w:multiLevelType w:val="hybridMultilevel"/>
    <w:tmpl w:val="6F3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53B24"/>
    <w:multiLevelType w:val="hybridMultilevel"/>
    <w:tmpl w:val="702E1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F6920"/>
    <w:multiLevelType w:val="hybridMultilevel"/>
    <w:tmpl w:val="7C4A86E0"/>
    <w:lvl w:ilvl="0" w:tplc="2A045A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3503D"/>
    <w:multiLevelType w:val="hybridMultilevel"/>
    <w:tmpl w:val="706A0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6597D12"/>
    <w:multiLevelType w:val="hybridMultilevel"/>
    <w:tmpl w:val="3C726E80"/>
    <w:lvl w:ilvl="0" w:tplc="99246E8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C56EA"/>
    <w:multiLevelType w:val="hybridMultilevel"/>
    <w:tmpl w:val="1C00B07A"/>
    <w:lvl w:ilvl="0" w:tplc="AD24D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17691"/>
    <w:multiLevelType w:val="hybridMultilevel"/>
    <w:tmpl w:val="DCD4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20DCF"/>
    <w:multiLevelType w:val="hybridMultilevel"/>
    <w:tmpl w:val="BC42C9F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6371344E"/>
    <w:multiLevelType w:val="hybridMultilevel"/>
    <w:tmpl w:val="D8DAC78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6AEC3D3A"/>
    <w:multiLevelType w:val="hybridMultilevel"/>
    <w:tmpl w:val="20FA5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351FCE"/>
    <w:multiLevelType w:val="hybridMultilevel"/>
    <w:tmpl w:val="86CEF9A0"/>
    <w:lvl w:ilvl="0" w:tplc="0416267C">
      <w:start w:val="1"/>
      <w:numFmt w:val="lowerLetter"/>
      <w:lvlText w:val="%1."/>
      <w:lvlJc w:val="left"/>
      <w:pPr>
        <w:ind w:left="717" w:hanging="360"/>
      </w:pPr>
      <w:rPr>
        <w:rFonts w:hint="default"/>
      </w:rPr>
    </w:lvl>
    <w:lvl w:ilvl="1" w:tplc="10090019">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6">
    <w:nsid w:val="71813BD0"/>
    <w:multiLevelType w:val="hybridMultilevel"/>
    <w:tmpl w:val="1D406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5"/>
  </w:num>
  <w:num w:numId="5">
    <w:abstractNumId w:val="3"/>
  </w:num>
  <w:num w:numId="6">
    <w:abstractNumId w:val="7"/>
  </w:num>
  <w:num w:numId="7">
    <w:abstractNumId w:val="10"/>
  </w:num>
  <w:num w:numId="8">
    <w:abstractNumId w:val="6"/>
  </w:num>
  <w:num w:numId="9">
    <w:abstractNumId w:val="4"/>
  </w:num>
  <w:num w:numId="10">
    <w:abstractNumId w:val="9"/>
  </w:num>
  <w:num w:numId="11">
    <w:abstractNumId w:val="16"/>
  </w:num>
  <w:num w:numId="12">
    <w:abstractNumId w:val="14"/>
  </w:num>
  <w:num w:numId="13">
    <w:abstractNumId w:val="13"/>
  </w:num>
  <w:num w:numId="14">
    <w:abstractNumId w:val="15"/>
  </w:num>
  <w:num w:numId="15">
    <w:abstractNumId w:val="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A2"/>
    <w:rsid w:val="0001091D"/>
    <w:rsid w:val="0004734E"/>
    <w:rsid w:val="00073E66"/>
    <w:rsid w:val="00075BA2"/>
    <w:rsid w:val="0008040C"/>
    <w:rsid w:val="000B2491"/>
    <w:rsid w:val="000B697A"/>
    <w:rsid w:val="000C3B09"/>
    <w:rsid w:val="000D26AD"/>
    <w:rsid w:val="000F3B09"/>
    <w:rsid w:val="000F3E1D"/>
    <w:rsid w:val="001079DD"/>
    <w:rsid w:val="00120A64"/>
    <w:rsid w:val="001608A9"/>
    <w:rsid w:val="001F3D72"/>
    <w:rsid w:val="00231352"/>
    <w:rsid w:val="00246A6D"/>
    <w:rsid w:val="00276537"/>
    <w:rsid w:val="002A4C4E"/>
    <w:rsid w:val="002A5811"/>
    <w:rsid w:val="002F0577"/>
    <w:rsid w:val="002F400F"/>
    <w:rsid w:val="003C63BB"/>
    <w:rsid w:val="003E4ECF"/>
    <w:rsid w:val="004123D5"/>
    <w:rsid w:val="00424AF4"/>
    <w:rsid w:val="00482682"/>
    <w:rsid w:val="004844BD"/>
    <w:rsid w:val="004924AD"/>
    <w:rsid w:val="0049477D"/>
    <w:rsid w:val="004B57B7"/>
    <w:rsid w:val="004E1537"/>
    <w:rsid w:val="004E7D51"/>
    <w:rsid w:val="005001D8"/>
    <w:rsid w:val="005236D3"/>
    <w:rsid w:val="00533B26"/>
    <w:rsid w:val="00536CF8"/>
    <w:rsid w:val="005C3D77"/>
    <w:rsid w:val="005C5D77"/>
    <w:rsid w:val="005D6ACC"/>
    <w:rsid w:val="00680C0E"/>
    <w:rsid w:val="006922DF"/>
    <w:rsid w:val="006A7DB9"/>
    <w:rsid w:val="00721A91"/>
    <w:rsid w:val="00744EA6"/>
    <w:rsid w:val="007617AC"/>
    <w:rsid w:val="007761D0"/>
    <w:rsid w:val="00783F1C"/>
    <w:rsid w:val="007A3DA5"/>
    <w:rsid w:val="007C7C78"/>
    <w:rsid w:val="007E3599"/>
    <w:rsid w:val="007F6876"/>
    <w:rsid w:val="00842B2A"/>
    <w:rsid w:val="0085434D"/>
    <w:rsid w:val="0089574C"/>
    <w:rsid w:val="008B29FF"/>
    <w:rsid w:val="008B3B02"/>
    <w:rsid w:val="008C4BD6"/>
    <w:rsid w:val="00915FFB"/>
    <w:rsid w:val="0094711C"/>
    <w:rsid w:val="00963B9D"/>
    <w:rsid w:val="00973F33"/>
    <w:rsid w:val="009752A4"/>
    <w:rsid w:val="009903C9"/>
    <w:rsid w:val="00992EAD"/>
    <w:rsid w:val="009E3D8C"/>
    <w:rsid w:val="00A417DE"/>
    <w:rsid w:val="00A5420E"/>
    <w:rsid w:val="00A6195D"/>
    <w:rsid w:val="00A71D69"/>
    <w:rsid w:val="00A9781A"/>
    <w:rsid w:val="00AB303D"/>
    <w:rsid w:val="00AD0654"/>
    <w:rsid w:val="00AD0D8C"/>
    <w:rsid w:val="00AE5F57"/>
    <w:rsid w:val="00AF02E3"/>
    <w:rsid w:val="00B05E80"/>
    <w:rsid w:val="00B206F6"/>
    <w:rsid w:val="00B7356B"/>
    <w:rsid w:val="00B746D3"/>
    <w:rsid w:val="00BD306E"/>
    <w:rsid w:val="00BD6C80"/>
    <w:rsid w:val="00BD7E65"/>
    <w:rsid w:val="00BE066D"/>
    <w:rsid w:val="00C1408F"/>
    <w:rsid w:val="00C352C7"/>
    <w:rsid w:val="00C445E5"/>
    <w:rsid w:val="00CA0BC3"/>
    <w:rsid w:val="00CB7636"/>
    <w:rsid w:val="00CD3171"/>
    <w:rsid w:val="00D03969"/>
    <w:rsid w:val="00D16CED"/>
    <w:rsid w:val="00D3417C"/>
    <w:rsid w:val="00D47233"/>
    <w:rsid w:val="00D75BF0"/>
    <w:rsid w:val="00D7656A"/>
    <w:rsid w:val="00D8370E"/>
    <w:rsid w:val="00DB1053"/>
    <w:rsid w:val="00DF38F2"/>
    <w:rsid w:val="00E10AB3"/>
    <w:rsid w:val="00E822A5"/>
    <w:rsid w:val="00EA0CA9"/>
    <w:rsid w:val="00EC516B"/>
    <w:rsid w:val="00F64297"/>
    <w:rsid w:val="00F80F85"/>
    <w:rsid w:val="00FC2374"/>
    <w:rsid w:val="00FC2E27"/>
    <w:rsid w:val="00FD517C"/>
    <w:rsid w:val="00FE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A2"/>
    <w:pPr>
      <w:spacing w:after="0" w:line="240" w:lineRule="auto"/>
    </w:pPr>
    <w:rPr>
      <w:rFonts w:ascii="Arial" w:eastAsia="ヒラギノ角ゴ Pro W3" w:hAnsi="Arial"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5BA2"/>
    <w:pPr>
      <w:spacing w:line="276" w:lineRule="auto"/>
      <w:ind w:left="720"/>
      <w:contextualSpacing/>
    </w:pPr>
  </w:style>
  <w:style w:type="character" w:customStyle="1" w:styleId="ListParagraphChar">
    <w:name w:val="List Paragraph Char"/>
    <w:basedOn w:val="DefaultParagraphFont"/>
    <w:link w:val="ListParagraph"/>
    <w:uiPriority w:val="34"/>
    <w:locked/>
    <w:rsid w:val="00075BA2"/>
    <w:rPr>
      <w:rFonts w:ascii="Arial" w:eastAsia="ヒラギノ角ゴ Pro W3" w:hAnsi="Arial" w:cs="Times New Roman"/>
      <w:color w:val="000000"/>
      <w:sz w:val="24"/>
      <w:szCs w:val="24"/>
      <w:lang w:val="en-GB"/>
    </w:rPr>
  </w:style>
  <w:style w:type="paragraph" w:styleId="Header">
    <w:name w:val="header"/>
    <w:basedOn w:val="Normal"/>
    <w:link w:val="HeaderChar"/>
    <w:uiPriority w:val="99"/>
    <w:unhideWhenUsed/>
    <w:rsid w:val="00075BA2"/>
    <w:pPr>
      <w:tabs>
        <w:tab w:val="center" w:pos="4680"/>
        <w:tab w:val="right" w:pos="9360"/>
      </w:tabs>
    </w:pPr>
  </w:style>
  <w:style w:type="character" w:customStyle="1" w:styleId="HeaderChar">
    <w:name w:val="Header Char"/>
    <w:basedOn w:val="DefaultParagraphFont"/>
    <w:link w:val="Header"/>
    <w:uiPriority w:val="99"/>
    <w:rsid w:val="00075BA2"/>
    <w:rPr>
      <w:rFonts w:ascii="Arial" w:eastAsia="ヒラギノ角ゴ Pro W3" w:hAnsi="Arial" w:cs="Times New Roman"/>
      <w:color w:val="000000"/>
      <w:sz w:val="24"/>
      <w:szCs w:val="24"/>
      <w:lang w:val="en-GB"/>
    </w:rPr>
  </w:style>
  <w:style w:type="paragraph" w:styleId="Footer">
    <w:name w:val="footer"/>
    <w:basedOn w:val="Normal"/>
    <w:link w:val="FooterChar"/>
    <w:uiPriority w:val="99"/>
    <w:unhideWhenUsed/>
    <w:rsid w:val="00075BA2"/>
    <w:pPr>
      <w:tabs>
        <w:tab w:val="center" w:pos="4680"/>
        <w:tab w:val="right" w:pos="9360"/>
      </w:tabs>
    </w:pPr>
  </w:style>
  <w:style w:type="character" w:customStyle="1" w:styleId="FooterChar">
    <w:name w:val="Footer Char"/>
    <w:basedOn w:val="DefaultParagraphFont"/>
    <w:link w:val="Footer"/>
    <w:uiPriority w:val="99"/>
    <w:rsid w:val="00075BA2"/>
    <w:rPr>
      <w:rFonts w:ascii="Arial" w:eastAsia="ヒラギノ角ゴ Pro W3" w:hAnsi="Arial" w:cs="Times New Roman"/>
      <w:color w:val="000000"/>
      <w:sz w:val="24"/>
      <w:szCs w:val="24"/>
      <w:lang w:val="en-GB"/>
    </w:rPr>
  </w:style>
  <w:style w:type="table" w:styleId="TableGrid">
    <w:name w:val="Table Grid"/>
    <w:basedOn w:val="TableNormal"/>
    <w:uiPriority w:val="59"/>
    <w:rsid w:val="00075BA2"/>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Notes">
    <w:name w:val="BriefingNotes"/>
    <w:basedOn w:val="Normal"/>
    <w:rsid w:val="00075BA2"/>
    <w:rPr>
      <w:rFonts w:ascii="Geneva" w:eastAsia="Times New Roman" w:hAnsi="Geneva"/>
      <w:noProof/>
      <w:color w:val="auto"/>
      <w:szCs w:val="20"/>
    </w:rPr>
  </w:style>
  <w:style w:type="character" w:styleId="Hyperlink">
    <w:name w:val="Hyperlink"/>
    <w:basedOn w:val="DefaultParagraphFont"/>
    <w:uiPriority w:val="99"/>
    <w:unhideWhenUsed/>
    <w:rsid w:val="00075BA2"/>
    <w:rPr>
      <w:color w:val="0000FF" w:themeColor="hyperlink"/>
      <w:u w:val="single"/>
    </w:rPr>
  </w:style>
  <w:style w:type="paragraph" w:styleId="BalloonText">
    <w:name w:val="Balloon Text"/>
    <w:basedOn w:val="Normal"/>
    <w:link w:val="BalloonTextChar"/>
    <w:uiPriority w:val="99"/>
    <w:semiHidden/>
    <w:unhideWhenUsed/>
    <w:rsid w:val="00075BA2"/>
    <w:rPr>
      <w:rFonts w:ascii="Tahoma" w:hAnsi="Tahoma" w:cs="Tahoma"/>
      <w:sz w:val="16"/>
      <w:szCs w:val="16"/>
    </w:rPr>
  </w:style>
  <w:style w:type="character" w:customStyle="1" w:styleId="BalloonTextChar">
    <w:name w:val="Balloon Text Char"/>
    <w:basedOn w:val="DefaultParagraphFont"/>
    <w:link w:val="BalloonText"/>
    <w:uiPriority w:val="99"/>
    <w:semiHidden/>
    <w:rsid w:val="00075BA2"/>
    <w:rPr>
      <w:rFonts w:ascii="Tahoma" w:eastAsia="ヒラギノ角ゴ Pro W3" w:hAnsi="Tahoma" w:cs="Tahoma"/>
      <w:color w:val="000000"/>
      <w:sz w:val="16"/>
      <w:szCs w:val="16"/>
      <w:lang w:val="en-GB"/>
    </w:rPr>
  </w:style>
  <w:style w:type="character" w:styleId="CommentReference">
    <w:name w:val="annotation reference"/>
    <w:basedOn w:val="DefaultParagraphFont"/>
    <w:uiPriority w:val="99"/>
    <w:semiHidden/>
    <w:unhideWhenUsed/>
    <w:rsid w:val="005D6ACC"/>
    <w:rPr>
      <w:sz w:val="16"/>
      <w:szCs w:val="16"/>
    </w:rPr>
  </w:style>
  <w:style w:type="paragraph" w:styleId="CommentText">
    <w:name w:val="annotation text"/>
    <w:basedOn w:val="Normal"/>
    <w:link w:val="CommentTextChar"/>
    <w:uiPriority w:val="99"/>
    <w:semiHidden/>
    <w:unhideWhenUsed/>
    <w:rsid w:val="005D6ACC"/>
    <w:rPr>
      <w:sz w:val="20"/>
      <w:szCs w:val="20"/>
    </w:rPr>
  </w:style>
  <w:style w:type="character" w:customStyle="1" w:styleId="CommentTextChar">
    <w:name w:val="Comment Text Char"/>
    <w:basedOn w:val="DefaultParagraphFont"/>
    <w:link w:val="CommentText"/>
    <w:uiPriority w:val="99"/>
    <w:semiHidden/>
    <w:rsid w:val="005D6ACC"/>
    <w:rPr>
      <w:rFonts w:ascii="Arial" w:eastAsia="ヒラギノ角ゴ Pro W3" w:hAnsi="Arial"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D6ACC"/>
    <w:rPr>
      <w:b/>
      <w:bCs/>
    </w:rPr>
  </w:style>
  <w:style w:type="character" w:customStyle="1" w:styleId="CommentSubjectChar">
    <w:name w:val="Comment Subject Char"/>
    <w:basedOn w:val="CommentTextChar"/>
    <w:link w:val="CommentSubject"/>
    <w:uiPriority w:val="99"/>
    <w:semiHidden/>
    <w:rsid w:val="005D6ACC"/>
    <w:rPr>
      <w:rFonts w:ascii="Arial" w:eastAsia="ヒラギノ角ゴ Pro W3" w:hAnsi="Arial" w:cs="Times New Roman"/>
      <w:b/>
      <w:bCs/>
      <w:color w:val="000000"/>
      <w:sz w:val="20"/>
      <w:szCs w:val="20"/>
      <w:lang w:val="en-GB"/>
    </w:rPr>
  </w:style>
  <w:style w:type="paragraph" w:styleId="Revision">
    <w:name w:val="Revision"/>
    <w:hidden/>
    <w:uiPriority w:val="99"/>
    <w:semiHidden/>
    <w:rsid w:val="007E3599"/>
    <w:pPr>
      <w:spacing w:after="0" w:line="240" w:lineRule="auto"/>
    </w:pPr>
    <w:rPr>
      <w:rFonts w:ascii="Arial" w:eastAsia="ヒラギノ角ゴ Pro W3" w:hAnsi="Arial" w:cs="Times New Roman"/>
      <w:color w:val="000000"/>
      <w:sz w:val="24"/>
      <w:szCs w:val="24"/>
      <w:lang w:val="en-GB"/>
    </w:rPr>
  </w:style>
  <w:style w:type="paragraph" w:styleId="Title">
    <w:name w:val="Title"/>
    <w:basedOn w:val="Normal"/>
    <w:next w:val="Normal"/>
    <w:link w:val="TitleChar"/>
    <w:uiPriority w:val="10"/>
    <w:qFormat/>
    <w:rsid w:val="00A54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20E"/>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A2"/>
    <w:pPr>
      <w:spacing w:after="0" w:line="240" w:lineRule="auto"/>
    </w:pPr>
    <w:rPr>
      <w:rFonts w:ascii="Arial" w:eastAsia="ヒラギノ角ゴ Pro W3" w:hAnsi="Arial"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5BA2"/>
    <w:pPr>
      <w:spacing w:line="276" w:lineRule="auto"/>
      <w:ind w:left="720"/>
      <w:contextualSpacing/>
    </w:pPr>
  </w:style>
  <w:style w:type="character" w:customStyle="1" w:styleId="ListParagraphChar">
    <w:name w:val="List Paragraph Char"/>
    <w:basedOn w:val="DefaultParagraphFont"/>
    <w:link w:val="ListParagraph"/>
    <w:uiPriority w:val="34"/>
    <w:locked/>
    <w:rsid w:val="00075BA2"/>
    <w:rPr>
      <w:rFonts w:ascii="Arial" w:eastAsia="ヒラギノ角ゴ Pro W3" w:hAnsi="Arial" w:cs="Times New Roman"/>
      <w:color w:val="000000"/>
      <w:sz w:val="24"/>
      <w:szCs w:val="24"/>
      <w:lang w:val="en-GB"/>
    </w:rPr>
  </w:style>
  <w:style w:type="paragraph" w:styleId="Header">
    <w:name w:val="header"/>
    <w:basedOn w:val="Normal"/>
    <w:link w:val="HeaderChar"/>
    <w:uiPriority w:val="99"/>
    <w:unhideWhenUsed/>
    <w:rsid w:val="00075BA2"/>
    <w:pPr>
      <w:tabs>
        <w:tab w:val="center" w:pos="4680"/>
        <w:tab w:val="right" w:pos="9360"/>
      </w:tabs>
    </w:pPr>
  </w:style>
  <w:style w:type="character" w:customStyle="1" w:styleId="HeaderChar">
    <w:name w:val="Header Char"/>
    <w:basedOn w:val="DefaultParagraphFont"/>
    <w:link w:val="Header"/>
    <w:uiPriority w:val="99"/>
    <w:rsid w:val="00075BA2"/>
    <w:rPr>
      <w:rFonts w:ascii="Arial" w:eastAsia="ヒラギノ角ゴ Pro W3" w:hAnsi="Arial" w:cs="Times New Roman"/>
      <w:color w:val="000000"/>
      <w:sz w:val="24"/>
      <w:szCs w:val="24"/>
      <w:lang w:val="en-GB"/>
    </w:rPr>
  </w:style>
  <w:style w:type="paragraph" w:styleId="Footer">
    <w:name w:val="footer"/>
    <w:basedOn w:val="Normal"/>
    <w:link w:val="FooterChar"/>
    <w:uiPriority w:val="99"/>
    <w:unhideWhenUsed/>
    <w:rsid w:val="00075BA2"/>
    <w:pPr>
      <w:tabs>
        <w:tab w:val="center" w:pos="4680"/>
        <w:tab w:val="right" w:pos="9360"/>
      </w:tabs>
    </w:pPr>
  </w:style>
  <w:style w:type="character" w:customStyle="1" w:styleId="FooterChar">
    <w:name w:val="Footer Char"/>
    <w:basedOn w:val="DefaultParagraphFont"/>
    <w:link w:val="Footer"/>
    <w:uiPriority w:val="99"/>
    <w:rsid w:val="00075BA2"/>
    <w:rPr>
      <w:rFonts w:ascii="Arial" w:eastAsia="ヒラギノ角ゴ Pro W3" w:hAnsi="Arial" w:cs="Times New Roman"/>
      <w:color w:val="000000"/>
      <w:sz w:val="24"/>
      <w:szCs w:val="24"/>
      <w:lang w:val="en-GB"/>
    </w:rPr>
  </w:style>
  <w:style w:type="table" w:styleId="TableGrid">
    <w:name w:val="Table Grid"/>
    <w:basedOn w:val="TableNormal"/>
    <w:uiPriority w:val="59"/>
    <w:rsid w:val="00075BA2"/>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Notes">
    <w:name w:val="BriefingNotes"/>
    <w:basedOn w:val="Normal"/>
    <w:rsid w:val="00075BA2"/>
    <w:rPr>
      <w:rFonts w:ascii="Geneva" w:eastAsia="Times New Roman" w:hAnsi="Geneva"/>
      <w:noProof/>
      <w:color w:val="auto"/>
      <w:szCs w:val="20"/>
    </w:rPr>
  </w:style>
  <w:style w:type="character" w:styleId="Hyperlink">
    <w:name w:val="Hyperlink"/>
    <w:basedOn w:val="DefaultParagraphFont"/>
    <w:uiPriority w:val="99"/>
    <w:unhideWhenUsed/>
    <w:rsid w:val="00075BA2"/>
    <w:rPr>
      <w:color w:val="0000FF" w:themeColor="hyperlink"/>
      <w:u w:val="single"/>
    </w:rPr>
  </w:style>
  <w:style w:type="paragraph" w:styleId="BalloonText">
    <w:name w:val="Balloon Text"/>
    <w:basedOn w:val="Normal"/>
    <w:link w:val="BalloonTextChar"/>
    <w:uiPriority w:val="99"/>
    <w:semiHidden/>
    <w:unhideWhenUsed/>
    <w:rsid w:val="00075BA2"/>
    <w:rPr>
      <w:rFonts w:ascii="Tahoma" w:hAnsi="Tahoma" w:cs="Tahoma"/>
      <w:sz w:val="16"/>
      <w:szCs w:val="16"/>
    </w:rPr>
  </w:style>
  <w:style w:type="character" w:customStyle="1" w:styleId="BalloonTextChar">
    <w:name w:val="Balloon Text Char"/>
    <w:basedOn w:val="DefaultParagraphFont"/>
    <w:link w:val="BalloonText"/>
    <w:uiPriority w:val="99"/>
    <w:semiHidden/>
    <w:rsid w:val="00075BA2"/>
    <w:rPr>
      <w:rFonts w:ascii="Tahoma" w:eastAsia="ヒラギノ角ゴ Pro W3" w:hAnsi="Tahoma" w:cs="Tahoma"/>
      <w:color w:val="000000"/>
      <w:sz w:val="16"/>
      <w:szCs w:val="16"/>
      <w:lang w:val="en-GB"/>
    </w:rPr>
  </w:style>
  <w:style w:type="character" w:styleId="CommentReference">
    <w:name w:val="annotation reference"/>
    <w:basedOn w:val="DefaultParagraphFont"/>
    <w:uiPriority w:val="99"/>
    <w:semiHidden/>
    <w:unhideWhenUsed/>
    <w:rsid w:val="005D6ACC"/>
    <w:rPr>
      <w:sz w:val="16"/>
      <w:szCs w:val="16"/>
    </w:rPr>
  </w:style>
  <w:style w:type="paragraph" w:styleId="CommentText">
    <w:name w:val="annotation text"/>
    <w:basedOn w:val="Normal"/>
    <w:link w:val="CommentTextChar"/>
    <w:uiPriority w:val="99"/>
    <w:semiHidden/>
    <w:unhideWhenUsed/>
    <w:rsid w:val="005D6ACC"/>
    <w:rPr>
      <w:sz w:val="20"/>
      <w:szCs w:val="20"/>
    </w:rPr>
  </w:style>
  <w:style w:type="character" w:customStyle="1" w:styleId="CommentTextChar">
    <w:name w:val="Comment Text Char"/>
    <w:basedOn w:val="DefaultParagraphFont"/>
    <w:link w:val="CommentText"/>
    <w:uiPriority w:val="99"/>
    <w:semiHidden/>
    <w:rsid w:val="005D6ACC"/>
    <w:rPr>
      <w:rFonts w:ascii="Arial" w:eastAsia="ヒラギノ角ゴ Pro W3" w:hAnsi="Arial"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D6ACC"/>
    <w:rPr>
      <w:b/>
      <w:bCs/>
    </w:rPr>
  </w:style>
  <w:style w:type="character" w:customStyle="1" w:styleId="CommentSubjectChar">
    <w:name w:val="Comment Subject Char"/>
    <w:basedOn w:val="CommentTextChar"/>
    <w:link w:val="CommentSubject"/>
    <w:uiPriority w:val="99"/>
    <w:semiHidden/>
    <w:rsid w:val="005D6ACC"/>
    <w:rPr>
      <w:rFonts w:ascii="Arial" w:eastAsia="ヒラギノ角ゴ Pro W3" w:hAnsi="Arial" w:cs="Times New Roman"/>
      <w:b/>
      <w:bCs/>
      <w:color w:val="000000"/>
      <w:sz w:val="20"/>
      <w:szCs w:val="20"/>
      <w:lang w:val="en-GB"/>
    </w:rPr>
  </w:style>
  <w:style w:type="paragraph" w:styleId="Revision">
    <w:name w:val="Revision"/>
    <w:hidden/>
    <w:uiPriority w:val="99"/>
    <w:semiHidden/>
    <w:rsid w:val="007E3599"/>
    <w:pPr>
      <w:spacing w:after="0" w:line="240" w:lineRule="auto"/>
    </w:pPr>
    <w:rPr>
      <w:rFonts w:ascii="Arial" w:eastAsia="ヒラギノ角ゴ Pro W3" w:hAnsi="Arial" w:cs="Times New Roman"/>
      <w:color w:val="000000"/>
      <w:sz w:val="24"/>
      <w:szCs w:val="24"/>
      <w:lang w:val="en-GB"/>
    </w:rPr>
  </w:style>
  <w:style w:type="paragraph" w:styleId="Title">
    <w:name w:val="Title"/>
    <w:basedOn w:val="Normal"/>
    <w:next w:val="Normal"/>
    <w:link w:val="TitleChar"/>
    <w:uiPriority w:val="10"/>
    <w:qFormat/>
    <w:rsid w:val="00A54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20E"/>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han@doctorsofbc.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WIKA@CITYTEL.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ancy.south@gov.bc.ca"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EF4F-5C46-4D55-943B-BBC4FFAB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AA0D343B</Template>
  <TotalTime>52</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Lolić, Petra</dc:creator>
  <cp:lastModifiedBy>Chan, Angie</cp:lastModifiedBy>
  <cp:revision>6</cp:revision>
  <cp:lastPrinted>2017-03-22T17:12:00Z</cp:lastPrinted>
  <dcterms:created xsi:type="dcterms:W3CDTF">2017-04-16T06:10:00Z</dcterms:created>
  <dcterms:modified xsi:type="dcterms:W3CDTF">2017-04-20T16:45:00Z</dcterms:modified>
</cp:coreProperties>
</file>