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23" w:rsidRPr="002A6C3B" w:rsidRDefault="005A4A23" w:rsidP="0090751A">
      <w:pPr>
        <w:rPr>
          <w:rStyle w:val="Hyperlink"/>
          <w:rFonts w:ascii="Verdana" w:hAnsi="Verdana"/>
          <w:sz w:val="20"/>
          <w:szCs w:val="20"/>
        </w:rPr>
      </w:pPr>
    </w:p>
    <w:p w:rsidR="005A4A23" w:rsidRPr="002A6C3B" w:rsidRDefault="005A4A23" w:rsidP="002A6C3B">
      <w:pPr>
        <w:rPr>
          <w:rFonts w:ascii="Verdana" w:hAnsi="Verdana"/>
          <w:b/>
          <w:sz w:val="20"/>
          <w:szCs w:val="20"/>
          <w:lang w:val="en-CA"/>
        </w:rPr>
      </w:pPr>
      <w:bookmarkStart w:id="0" w:name="_GoBack"/>
      <w:bookmarkEnd w:id="0"/>
      <w:r w:rsidRPr="002A6C3B">
        <w:rPr>
          <w:rFonts w:ascii="Verdana" w:hAnsi="Verdana"/>
          <w:b/>
          <w:sz w:val="20"/>
          <w:szCs w:val="20"/>
          <w:lang w:val="en-CA"/>
        </w:rPr>
        <w:t>Final funded support available to enhance EMR performance</w:t>
      </w:r>
    </w:p>
    <w:p w:rsidR="005A4A23" w:rsidRPr="002A6C3B" w:rsidRDefault="005A4A23" w:rsidP="002A6C3B">
      <w:pPr>
        <w:rPr>
          <w:rFonts w:ascii="Verdana" w:hAnsi="Verdana"/>
          <w:sz w:val="20"/>
          <w:szCs w:val="20"/>
        </w:rPr>
      </w:pPr>
      <w:r w:rsidRPr="002A6C3B">
        <w:rPr>
          <w:rFonts w:ascii="Verdana" w:hAnsi="Verdana"/>
          <w:sz w:val="20"/>
          <w:szCs w:val="20"/>
          <w:lang w:val="en-CA"/>
        </w:rPr>
        <w:t xml:space="preserve">The GPSC is funding a final opportunity for BC family physicians to </w:t>
      </w:r>
      <w:r w:rsidRPr="002A6C3B">
        <w:rPr>
          <w:rFonts w:ascii="Verdana" w:hAnsi="Verdana"/>
          <w:sz w:val="20"/>
          <w:szCs w:val="20"/>
        </w:rPr>
        <w:t>take advantage of EMR post-implementation support. The one-time funding was created by the GPSC at the end of funding for the Physician Technology Information Office (PITO), now working with the Practice Support Program as Practice Support Program Technology Group (PSP TG).</w:t>
      </w:r>
    </w:p>
    <w:p w:rsidR="005A4A23" w:rsidRPr="002A6C3B" w:rsidRDefault="005A4A23" w:rsidP="002A6C3B">
      <w:pPr>
        <w:rPr>
          <w:rFonts w:ascii="Verdana" w:hAnsi="Verdana"/>
          <w:sz w:val="20"/>
          <w:szCs w:val="20"/>
          <w:lang w:val="en-CA"/>
        </w:rPr>
      </w:pPr>
      <w:r w:rsidRPr="002A6C3B">
        <w:rPr>
          <w:rFonts w:ascii="Verdana" w:hAnsi="Verdana"/>
          <w:sz w:val="20"/>
          <w:szCs w:val="20"/>
          <w:lang w:val="en-CA"/>
        </w:rPr>
        <w:t>Because effective use of an</w:t>
      </w:r>
      <w:r>
        <w:rPr>
          <w:rFonts w:ascii="Verdana" w:hAnsi="Verdana"/>
          <w:sz w:val="20"/>
          <w:szCs w:val="20"/>
          <w:lang w:val="en-CA"/>
        </w:rPr>
        <w:t xml:space="preserve"> EMR will underlie</w:t>
      </w:r>
      <w:r w:rsidRPr="002A6C3B">
        <w:rPr>
          <w:rFonts w:ascii="Verdana" w:hAnsi="Verdana"/>
          <w:sz w:val="20"/>
          <w:szCs w:val="20"/>
          <w:lang w:val="en-CA"/>
        </w:rPr>
        <w:t xml:space="preserve"> most of the GPSC, Shared Care Committee and Specialist Services Committee initiatives, GPSC </w:t>
      </w:r>
      <w:r>
        <w:rPr>
          <w:rFonts w:ascii="Verdana" w:hAnsi="Verdana"/>
          <w:sz w:val="20"/>
          <w:szCs w:val="20"/>
          <w:lang w:val="en-CA"/>
        </w:rPr>
        <w:t>hopes</w:t>
      </w:r>
      <w:r w:rsidRPr="002A6C3B">
        <w:rPr>
          <w:rFonts w:ascii="Verdana" w:hAnsi="Verdana"/>
          <w:sz w:val="20"/>
          <w:szCs w:val="20"/>
          <w:lang w:val="en-CA"/>
        </w:rPr>
        <w:t xml:space="preserve"> to have all </w:t>
      </w:r>
      <w:r>
        <w:rPr>
          <w:rFonts w:ascii="Verdana" w:hAnsi="Verdana"/>
          <w:sz w:val="20"/>
          <w:szCs w:val="20"/>
          <w:lang w:val="en-CA"/>
        </w:rPr>
        <w:t xml:space="preserve">family </w:t>
      </w:r>
      <w:r w:rsidRPr="002A6C3B">
        <w:rPr>
          <w:rFonts w:ascii="Verdana" w:hAnsi="Verdana"/>
          <w:sz w:val="20"/>
          <w:szCs w:val="20"/>
          <w:lang w:val="en-CA"/>
        </w:rPr>
        <w:t>physicians at MU3 by March 31, 2015.</w:t>
      </w:r>
      <w:r>
        <w:rPr>
          <w:rFonts w:ascii="Verdana" w:hAnsi="Verdana"/>
          <w:sz w:val="20"/>
          <w:szCs w:val="20"/>
          <w:lang w:val="en-CA"/>
        </w:rPr>
        <w:t xml:space="preserve">  As of this date, access to funding will stop.</w:t>
      </w:r>
    </w:p>
    <w:p w:rsidR="005A4A23" w:rsidRPr="002A6C3B" w:rsidRDefault="005A4A23" w:rsidP="002A6C3B">
      <w:pPr>
        <w:rPr>
          <w:rFonts w:ascii="Verdana" w:hAnsi="Verdana"/>
          <w:sz w:val="20"/>
          <w:szCs w:val="20"/>
          <w:lang w:val="en-CA"/>
        </w:rPr>
      </w:pPr>
      <w:r w:rsidRPr="002A6C3B">
        <w:rPr>
          <w:rFonts w:ascii="Verdana" w:hAnsi="Verdana"/>
          <w:sz w:val="20"/>
          <w:szCs w:val="20"/>
          <w:lang w:val="en-CA"/>
        </w:rPr>
        <w:t xml:space="preserve">Benefits of the program include: </w:t>
      </w:r>
    </w:p>
    <w:p w:rsidR="005A4A23" w:rsidRPr="002A6C3B" w:rsidRDefault="005A4A23" w:rsidP="002A6C3B">
      <w:pPr>
        <w:pStyle w:val="ListParagraph"/>
        <w:numPr>
          <w:ilvl w:val="0"/>
          <w:numId w:val="1"/>
        </w:numPr>
        <w:rPr>
          <w:rFonts w:ascii="Verdana" w:hAnsi="Verdana"/>
          <w:sz w:val="20"/>
          <w:szCs w:val="20"/>
          <w:lang w:val="en-CA"/>
        </w:rPr>
      </w:pPr>
      <w:r w:rsidRPr="002A6C3B">
        <w:rPr>
          <w:rFonts w:ascii="Verdana" w:hAnsi="Verdana"/>
          <w:sz w:val="20"/>
          <w:szCs w:val="20"/>
          <w:lang w:val="en-CA"/>
        </w:rPr>
        <w:t>Improved office efficiency and care for patients.</w:t>
      </w:r>
    </w:p>
    <w:p w:rsidR="005A4A23" w:rsidRPr="002A6C3B" w:rsidRDefault="005A4A23" w:rsidP="002A6C3B">
      <w:pPr>
        <w:pStyle w:val="ListParagraph"/>
        <w:numPr>
          <w:ilvl w:val="0"/>
          <w:numId w:val="1"/>
        </w:numPr>
        <w:rPr>
          <w:rFonts w:ascii="Verdana" w:hAnsi="Verdana"/>
          <w:sz w:val="20"/>
          <w:szCs w:val="20"/>
          <w:lang w:val="en-CA"/>
        </w:rPr>
      </w:pPr>
      <w:r w:rsidRPr="002A6C3B">
        <w:rPr>
          <w:rFonts w:ascii="Verdana" w:hAnsi="Verdana"/>
          <w:sz w:val="20"/>
          <w:szCs w:val="20"/>
          <w:lang w:val="en-CA"/>
        </w:rPr>
        <w:t xml:space="preserve">Enhanced practice management processes </w:t>
      </w:r>
      <w:r>
        <w:rPr>
          <w:rFonts w:ascii="Verdana" w:hAnsi="Verdana"/>
          <w:sz w:val="20"/>
          <w:szCs w:val="20"/>
          <w:lang w:val="en-CA"/>
        </w:rPr>
        <w:t xml:space="preserve">through </w:t>
      </w:r>
      <w:r w:rsidRPr="002A6C3B">
        <w:rPr>
          <w:rFonts w:ascii="Verdana" w:hAnsi="Verdana"/>
          <w:sz w:val="20"/>
          <w:szCs w:val="20"/>
          <w:lang w:val="en-CA"/>
        </w:rPr>
        <w:t>identif</w:t>
      </w:r>
      <w:r>
        <w:rPr>
          <w:rFonts w:ascii="Verdana" w:hAnsi="Verdana"/>
          <w:sz w:val="20"/>
          <w:szCs w:val="20"/>
          <w:lang w:val="en-CA"/>
        </w:rPr>
        <w:t xml:space="preserve">ication </w:t>
      </w:r>
      <w:proofErr w:type="gramStart"/>
      <w:r>
        <w:rPr>
          <w:rFonts w:ascii="Verdana" w:hAnsi="Verdana"/>
          <w:sz w:val="20"/>
          <w:szCs w:val="20"/>
          <w:lang w:val="en-CA"/>
        </w:rPr>
        <w:t xml:space="preserve">of </w:t>
      </w:r>
      <w:r w:rsidRPr="002A6C3B">
        <w:rPr>
          <w:rFonts w:ascii="Verdana" w:hAnsi="Verdana"/>
          <w:sz w:val="20"/>
          <w:szCs w:val="20"/>
          <w:lang w:val="en-CA"/>
        </w:rPr>
        <w:t xml:space="preserve"> patients</w:t>
      </w:r>
      <w:proofErr w:type="gramEnd"/>
      <w:r w:rsidRPr="002A6C3B">
        <w:rPr>
          <w:rFonts w:ascii="Verdana" w:hAnsi="Verdana"/>
          <w:sz w:val="20"/>
          <w:szCs w:val="20"/>
          <w:lang w:val="en-CA"/>
        </w:rPr>
        <w:t xml:space="preserve"> whose care triggers eligibility for incentive fees.</w:t>
      </w:r>
    </w:p>
    <w:p w:rsidR="005A4A23" w:rsidRPr="002A6C3B" w:rsidRDefault="005A4A23" w:rsidP="002A6C3B">
      <w:pPr>
        <w:pStyle w:val="ListParagraph"/>
        <w:numPr>
          <w:ilvl w:val="0"/>
          <w:numId w:val="1"/>
        </w:numPr>
        <w:rPr>
          <w:rFonts w:ascii="Verdana" w:hAnsi="Verdana"/>
          <w:sz w:val="20"/>
          <w:szCs w:val="20"/>
          <w:lang w:val="en-CA"/>
        </w:rPr>
      </w:pPr>
      <w:r w:rsidRPr="002A6C3B">
        <w:rPr>
          <w:rFonts w:ascii="Verdana" w:hAnsi="Verdana"/>
          <w:sz w:val="20"/>
          <w:szCs w:val="20"/>
        </w:rPr>
        <w:t>Assistance in population health assessment, patient attachment, and health system integration.</w:t>
      </w:r>
    </w:p>
    <w:p w:rsidR="005A4A23" w:rsidRPr="002A6C3B" w:rsidRDefault="005A4A23" w:rsidP="002A6C3B">
      <w:pPr>
        <w:pStyle w:val="ListParagraph"/>
        <w:numPr>
          <w:ilvl w:val="0"/>
          <w:numId w:val="1"/>
        </w:numPr>
        <w:rPr>
          <w:rFonts w:ascii="Verdana" w:hAnsi="Verdana"/>
          <w:sz w:val="20"/>
          <w:szCs w:val="20"/>
          <w:lang w:val="en-CA"/>
        </w:rPr>
      </w:pPr>
      <w:r w:rsidRPr="002A6C3B">
        <w:rPr>
          <w:rFonts w:ascii="Verdana" w:hAnsi="Verdana"/>
          <w:sz w:val="20"/>
          <w:szCs w:val="20"/>
        </w:rPr>
        <w:t>Funding of $3</w:t>
      </w:r>
      <w:r>
        <w:rPr>
          <w:rFonts w:ascii="Verdana" w:hAnsi="Verdana"/>
          <w:sz w:val="20"/>
          <w:szCs w:val="20"/>
        </w:rPr>
        <w:t>,</w:t>
      </w:r>
      <w:r w:rsidRPr="002A6C3B">
        <w:rPr>
          <w:rFonts w:ascii="Verdana" w:hAnsi="Verdana"/>
          <w:sz w:val="20"/>
          <w:szCs w:val="20"/>
        </w:rPr>
        <w:t xml:space="preserve">000 </w:t>
      </w:r>
      <w:r>
        <w:rPr>
          <w:rFonts w:ascii="Verdana" w:hAnsi="Verdana"/>
          <w:sz w:val="20"/>
          <w:szCs w:val="20"/>
        </w:rPr>
        <w:t>is available to recognize time taken from practice and</w:t>
      </w:r>
      <w:r w:rsidRPr="002A6C3B">
        <w:rPr>
          <w:rFonts w:ascii="Verdana" w:hAnsi="Verdana"/>
          <w:sz w:val="20"/>
          <w:szCs w:val="20"/>
        </w:rPr>
        <w:t xml:space="preserve"> </w:t>
      </w:r>
      <w:r w:rsidRPr="002A6C3B">
        <w:rPr>
          <w:rFonts w:ascii="Verdana" w:hAnsi="Verdana"/>
          <w:sz w:val="20"/>
          <w:szCs w:val="20"/>
          <w:lang w:val="en-CA"/>
        </w:rPr>
        <w:t xml:space="preserve">six </w:t>
      </w:r>
      <w:proofErr w:type="spellStart"/>
      <w:r w:rsidRPr="002A6C3B">
        <w:rPr>
          <w:rFonts w:ascii="Verdana" w:hAnsi="Verdana"/>
          <w:sz w:val="20"/>
          <w:szCs w:val="20"/>
          <w:lang w:val="en-CA"/>
        </w:rPr>
        <w:t>Mainpro</w:t>
      </w:r>
      <w:proofErr w:type="spellEnd"/>
      <w:r w:rsidRPr="002A6C3B">
        <w:rPr>
          <w:rFonts w:ascii="Verdana" w:hAnsi="Verdana"/>
          <w:sz w:val="20"/>
          <w:szCs w:val="20"/>
          <w:lang w:val="en-CA"/>
        </w:rPr>
        <w:t xml:space="preserve">-C and six bonus Mainpro-M1 credits </w:t>
      </w:r>
      <w:r>
        <w:rPr>
          <w:rFonts w:ascii="Verdana" w:hAnsi="Verdana"/>
          <w:sz w:val="20"/>
          <w:szCs w:val="20"/>
          <w:lang w:val="en-CA"/>
        </w:rPr>
        <w:t xml:space="preserve">will be </w:t>
      </w:r>
      <w:proofErr w:type="gramStart"/>
      <w:r>
        <w:rPr>
          <w:rFonts w:ascii="Verdana" w:hAnsi="Verdana"/>
          <w:sz w:val="20"/>
          <w:szCs w:val="20"/>
          <w:lang w:val="en-CA"/>
        </w:rPr>
        <w:t>awarded  upon</w:t>
      </w:r>
      <w:proofErr w:type="gramEnd"/>
      <w:r>
        <w:rPr>
          <w:rFonts w:ascii="Verdana" w:hAnsi="Verdana"/>
          <w:sz w:val="20"/>
          <w:szCs w:val="20"/>
          <w:lang w:val="en-CA"/>
        </w:rPr>
        <w:t xml:space="preserve"> completion of the full  support cycle and achievement of MU3</w:t>
      </w:r>
      <w:r w:rsidRPr="002A6C3B">
        <w:rPr>
          <w:rFonts w:ascii="Verdana" w:hAnsi="Verdana"/>
          <w:sz w:val="20"/>
          <w:szCs w:val="20"/>
          <w:lang w:val="en-CA"/>
        </w:rPr>
        <w:t>.</w:t>
      </w:r>
    </w:p>
    <w:p w:rsidR="005A4A23" w:rsidRPr="002A6C3B" w:rsidRDefault="005A4A23" w:rsidP="002A6C3B">
      <w:pPr>
        <w:rPr>
          <w:rFonts w:ascii="Verdana" w:hAnsi="Verdana"/>
          <w:sz w:val="20"/>
          <w:szCs w:val="20"/>
          <w:lang w:val="en-CA"/>
        </w:rPr>
      </w:pPr>
      <w:r w:rsidRPr="002A6C3B">
        <w:rPr>
          <w:rFonts w:ascii="Verdana" w:hAnsi="Verdana"/>
          <w:sz w:val="20"/>
          <w:szCs w:val="20"/>
          <w:lang w:val="en-CA"/>
        </w:rPr>
        <w:t xml:space="preserve">All family physicians </w:t>
      </w:r>
      <w:proofErr w:type="gramStart"/>
      <w:r w:rsidRPr="002A6C3B">
        <w:rPr>
          <w:rFonts w:ascii="Verdana" w:hAnsi="Verdana"/>
          <w:sz w:val="20"/>
          <w:szCs w:val="20"/>
          <w:lang w:val="en-CA"/>
        </w:rPr>
        <w:t>who</w:t>
      </w:r>
      <w:proofErr w:type="gramEnd"/>
      <w:r w:rsidRPr="002A6C3B">
        <w:rPr>
          <w:rFonts w:ascii="Verdana" w:hAnsi="Verdana"/>
          <w:sz w:val="20"/>
          <w:szCs w:val="20"/>
          <w:lang w:val="en-CA"/>
        </w:rPr>
        <w:t xml:space="preserve"> are on an EMR, including doctors working in walk-in clinics, locums and specialized practices (example, maternity care), are eligible.</w:t>
      </w:r>
    </w:p>
    <w:p w:rsidR="005A4A23" w:rsidRPr="002A6C3B" w:rsidRDefault="005A4A23" w:rsidP="002A6C3B">
      <w:pPr>
        <w:rPr>
          <w:rFonts w:ascii="Verdana" w:hAnsi="Verdana"/>
          <w:sz w:val="20"/>
          <w:szCs w:val="20"/>
          <w:lang w:val="en-CA"/>
        </w:rPr>
      </w:pPr>
      <w:r w:rsidRPr="002A6C3B">
        <w:rPr>
          <w:rFonts w:ascii="Verdana" w:hAnsi="Verdana"/>
          <w:sz w:val="20"/>
          <w:szCs w:val="20"/>
        </w:rPr>
        <w:t xml:space="preserve">Important deadlines are: </w:t>
      </w:r>
    </w:p>
    <w:tbl>
      <w:tblPr>
        <w:tblW w:w="0" w:type="auto"/>
        <w:tblLook w:val="00A0" w:firstRow="1" w:lastRow="0" w:firstColumn="1" w:lastColumn="0" w:noHBand="0" w:noVBand="0"/>
      </w:tblPr>
      <w:tblGrid>
        <w:gridCol w:w="2718"/>
        <w:gridCol w:w="6858"/>
      </w:tblGrid>
      <w:tr w:rsidR="005A4A23" w:rsidRPr="00305688" w:rsidTr="00305688">
        <w:tc>
          <w:tcPr>
            <w:tcW w:w="2718" w:type="dxa"/>
          </w:tcPr>
          <w:p w:rsidR="005A4A23" w:rsidRPr="00305688" w:rsidRDefault="005A4A23" w:rsidP="005F7211">
            <w:pPr>
              <w:rPr>
                <w:rFonts w:ascii="Verdana" w:hAnsi="Verdana"/>
                <w:sz w:val="20"/>
                <w:szCs w:val="20"/>
                <w:lang w:val="en-CA"/>
              </w:rPr>
            </w:pPr>
            <w:r w:rsidRPr="00305688">
              <w:rPr>
                <w:rFonts w:ascii="Verdana" w:hAnsi="Verdana"/>
                <w:b/>
                <w:sz w:val="20"/>
                <w:szCs w:val="20"/>
                <w:lang w:val="en-CA"/>
              </w:rPr>
              <w:t>September 30, 2014</w:t>
            </w:r>
          </w:p>
        </w:tc>
        <w:tc>
          <w:tcPr>
            <w:tcW w:w="6858" w:type="dxa"/>
          </w:tcPr>
          <w:p w:rsidR="005A4A23" w:rsidRPr="00305688" w:rsidRDefault="005A4A23" w:rsidP="005F7211">
            <w:pPr>
              <w:rPr>
                <w:rFonts w:ascii="Verdana" w:hAnsi="Verdana"/>
                <w:sz w:val="20"/>
                <w:szCs w:val="20"/>
                <w:lang w:val="en-CA"/>
              </w:rPr>
            </w:pPr>
            <w:r w:rsidRPr="00305688">
              <w:rPr>
                <w:rFonts w:ascii="Verdana" w:hAnsi="Verdana"/>
                <w:sz w:val="20"/>
                <w:szCs w:val="20"/>
                <w:lang w:val="en-CA"/>
              </w:rPr>
              <w:t>Deadline for physicians to indicate their intention to participate.</w:t>
            </w:r>
          </w:p>
        </w:tc>
      </w:tr>
      <w:tr w:rsidR="005A4A23" w:rsidRPr="00305688" w:rsidTr="00305688">
        <w:tc>
          <w:tcPr>
            <w:tcW w:w="2718" w:type="dxa"/>
          </w:tcPr>
          <w:p w:rsidR="005A4A23" w:rsidRPr="00305688" w:rsidRDefault="005A4A23" w:rsidP="005F7211">
            <w:pPr>
              <w:rPr>
                <w:rFonts w:ascii="Verdana" w:hAnsi="Verdana"/>
                <w:sz w:val="20"/>
                <w:szCs w:val="20"/>
                <w:lang w:val="en-CA"/>
              </w:rPr>
            </w:pPr>
            <w:r w:rsidRPr="00305688">
              <w:rPr>
                <w:rFonts w:ascii="Verdana" w:hAnsi="Verdana"/>
                <w:b/>
                <w:sz w:val="20"/>
                <w:szCs w:val="20"/>
                <w:lang w:val="en-CA"/>
              </w:rPr>
              <w:t>October 31, 2014</w:t>
            </w:r>
          </w:p>
        </w:tc>
        <w:tc>
          <w:tcPr>
            <w:tcW w:w="6858" w:type="dxa"/>
          </w:tcPr>
          <w:p w:rsidR="005A4A23" w:rsidRPr="00305688" w:rsidRDefault="005A4A23" w:rsidP="005F7211">
            <w:pPr>
              <w:rPr>
                <w:rFonts w:ascii="Verdana" w:hAnsi="Verdana"/>
                <w:sz w:val="20"/>
                <w:szCs w:val="20"/>
                <w:lang w:val="en-CA"/>
              </w:rPr>
            </w:pPr>
            <w:r w:rsidRPr="00305688">
              <w:rPr>
                <w:rFonts w:ascii="Verdana" w:hAnsi="Verdana"/>
                <w:sz w:val="20"/>
                <w:szCs w:val="20"/>
                <w:lang w:val="en-CA"/>
              </w:rPr>
              <w:t>Deadline to book initial assessment to determine amount of support needed</w:t>
            </w:r>
            <w:r>
              <w:rPr>
                <w:rFonts w:ascii="Verdana" w:hAnsi="Verdana"/>
                <w:sz w:val="20"/>
                <w:szCs w:val="20"/>
                <w:lang w:val="en-CA"/>
              </w:rPr>
              <w:t xml:space="preserve"> to achieve MU3</w:t>
            </w:r>
            <w:r w:rsidRPr="00305688">
              <w:rPr>
                <w:rFonts w:ascii="Verdana" w:hAnsi="Verdana"/>
                <w:sz w:val="20"/>
                <w:szCs w:val="20"/>
                <w:lang w:val="en-CA"/>
              </w:rPr>
              <w:t>.</w:t>
            </w:r>
          </w:p>
        </w:tc>
      </w:tr>
      <w:tr w:rsidR="005A4A23" w:rsidRPr="00305688" w:rsidTr="00305688">
        <w:tc>
          <w:tcPr>
            <w:tcW w:w="2718" w:type="dxa"/>
          </w:tcPr>
          <w:p w:rsidR="005A4A23" w:rsidRPr="00305688" w:rsidRDefault="005A4A23" w:rsidP="005F7211">
            <w:pPr>
              <w:rPr>
                <w:rFonts w:ascii="Verdana" w:hAnsi="Verdana"/>
                <w:sz w:val="20"/>
                <w:szCs w:val="20"/>
                <w:lang w:val="en-CA"/>
              </w:rPr>
            </w:pPr>
            <w:r w:rsidRPr="00305688">
              <w:rPr>
                <w:rFonts w:ascii="Verdana" w:hAnsi="Verdana"/>
                <w:b/>
                <w:sz w:val="20"/>
                <w:szCs w:val="20"/>
                <w:lang w:val="en-CA"/>
              </w:rPr>
              <w:t>December 31, 2014</w:t>
            </w:r>
          </w:p>
        </w:tc>
        <w:tc>
          <w:tcPr>
            <w:tcW w:w="6858" w:type="dxa"/>
          </w:tcPr>
          <w:p w:rsidR="005A4A23" w:rsidRPr="00305688" w:rsidRDefault="005A4A23" w:rsidP="005F7211">
            <w:pPr>
              <w:rPr>
                <w:rFonts w:ascii="Verdana" w:hAnsi="Verdana"/>
                <w:sz w:val="20"/>
                <w:szCs w:val="20"/>
                <w:lang w:val="en-CA"/>
              </w:rPr>
            </w:pPr>
            <w:r w:rsidRPr="00305688">
              <w:rPr>
                <w:rFonts w:ascii="Verdana" w:hAnsi="Verdana"/>
                <w:sz w:val="20"/>
                <w:szCs w:val="20"/>
                <w:lang w:val="en-CA"/>
              </w:rPr>
              <w:t>Deadline for completion of initial assessment.</w:t>
            </w:r>
          </w:p>
        </w:tc>
      </w:tr>
      <w:tr w:rsidR="005A4A23" w:rsidRPr="00305688" w:rsidTr="00305688">
        <w:tc>
          <w:tcPr>
            <w:tcW w:w="2718" w:type="dxa"/>
          </w:tcPr>
          <w:p w:rsidR="005A4A23" w:rsidRPr="00305688" w:rsidRDefault="005A4A23" w:rsidP="005F7211">
            <w:pPr>
              <w:rPr>
                <w:rFonts w:ascii="Verdana" w:hAnsi="Verdana"/>
                <w:sz w:val="20"/>
                <w:szCs w:val="20"/>
                <w:lang w:val="en-CA"/>
              </w:rPr>
            </w:pPr>
            <w:r w:rsidRPr="00305688">
              <w:rPr>
                <w:rFonts w:ascii="Verdana" w:hAnsi="Verdana"/>
                <w:b/>
                <w:sz w:val="20"/>
                <w:szCs w:val="20"/>
                <w:lang w:val="en-CA"/>
              </w:rPr>
              <w:t>March 31, 2015</w:t>
            </w:r>
          </w:p>
        </w:tc>
        <w:tc>
          <w:tcPr>
            <w:tcW w:w="6858" w:type="dxa"/>
          </w:tcPr>
          <w:p w:rsidR="005A4A23" w:rsidRPr="00305688" w:rsidRDefault="005A4A23" w:rsidP="00744538">
            <w:pPr>
              <w:rPr>
                <w:rFonts w:ascii="Verdana" w:hAnsi="Verdana"/>
                <w:sz w:val="20"/>
                <w:szCs w:val="20"/>
                <w:lang w:val="en-CA"/>
              </w:rPr>
            </w:pPr>
            <w:r w:rsidRPr="00305688">
              <w:rPr>
                <w:rFonts w:ascii="Verdana" w:hAnsi="Verdana"/>
                <w:sz w:val="20"/>
                <w:szCs w:val="20"/>
                <w:lang w:val="en-CA"/>
              </w:rPr>
              <w:t xml:space="preserve">Deadline for </w:t>
            </w:r>
            <w:r>
              <w:rPr>
                <w:rFonts w:ascii="Verdana" w:hAnsi="Verdana"/>
                <w:sz w:val="20"/>
                <w:szCs w:val="20"/>
                <w:lang w:val="en-CA"/>
              </w:rPr>
              <w:t xml:space="preserve">completion of support cycle and/or </w:t>
            </w:r>
            <w:r w:rsidRPr="00305688">
              <w:rPr>
                <w:rFonts w:ascii="Verdana" w:hAnsi="Verdana"/>
                <w:sz w:val="20"/>
                <w:szCs w:val="20"/>
                <w:lang w:val="en-CA"/>
              </w:rPr>
              <w:t>submission of summary of the Objective Data Dashboard (proof of MU3.) Funding allocated by GPSC for family physicians to reach MU3 is no longer available after this date.</w:t>
            </w:r>
          </w:p>
        </w:tc>
      </w:tr>
    </w:tbl>
    <w:p w:rsidR="005A4A23" w:rsidRPr="002A6C3B" w:rsidRDefault="005A4A23" w:rsidP="002A6C3B">
      <w:pPr>
        <w:rPr>
          <w:rFonts w:ascii="Verdana" w:hAnsi="Verdana"/>
          <w:sz w:val="20"/>
          <w:szCs w:val="20"/>
        </w:rPr>
      </w:pPr>
      <w:r w:rsidRPr="002A6C3B">
        <w:rPr>
          <w:rFonts w:ascii="Verdana" w:hAnsi="Verdana"/>
          <w:sz w:val="20"/>
          <w:szCs w:val="20"/>
        </w:rPr>
        <w:t xml:space="preserve">Applications are accepted on a first come, first-served basis and staffing resources are limited so please indicate interest as soon as possible. To apply, email </w:t>
      </w:r>
      <w:hyperlink r:id="rId8" w:history="1">
        <w:r w:rsidRPr="002A6C3B">
          <w:rPr>
            <w:rStyle w:val="Hyperlink"/>
            <w:rFonts w:ascii="Verdana" w:hAnsi="Verdana"/>
            <w:sz w:val="20"/>
            <w:szCs w:val="20"/>
          </w:rPr>
          <w:t>emrsupport@doctorsofbc.ca</w:t>
        </w:r>
      </w:hyperlink>
      <w:r w:rsidRPr="002A6C3B">
        <w:rPr>
          <w:rFonts w:ascii="Verdana" w:hAnsi="Verdana"/>
          <w:sz w:val="20"/>
          <w:szCs w:val="20"/>
        </w:rPr>
        <w:t xml:space="preserve">, contact your local PAC or visit </w:t>
      </w:r>
      <w:hyperlink r:id="rId9" w:history="1">
        <w:r w:rsidRPr="002A6C3B">
          <w:rPr>
            <w:rStyle w:val="Hyperlink"/>
            <w:rFonts w:ascii="Verdana" w:hAnsi="Verdana"/>
            <w:sz w:val="20"/>
            <w:szCs w:val="20"/>
          </w:rPr>
          <w:t>www.pspbc.ca</w:t>
        </w:r>
      </w:hyperlink>
      <w:r>
        <w:rPr>
          <w:rStyle w:val="Hyperlink"/>
          <w:rFonts w:ascii="Verdana" w:hAnsi="Verdana"/>
          <w:sz w:val="20"/>
          <w:szCs w:val="20"/>
        </w:rPr>
        <w:t>.</w:t>
      </w:r>
    </w:p>
    <w:p w:rsidR="005A4A23" w:rsidRPr="002A6C3B" w:rsidRDefault="005A4A23" w:rsidP="002A6C3B">
      <w:pPr>
        <w:rPr>
          <w:rFonts w:ascii="Verdana" w:hAnsi="Verdana"/>
          <w:b/>
          <w:sz w:val="20"/>
          <w:szCs w:val="20"/>
        </w:rPr>
      </w:pPr>
      <w:r w:rsidRPr="002A6C3B">
        <w:rPr>
          <w:rFonts w:ascii="Verdana" w:hAnsi="Verdana"/>
          <w:sz w:val="20"/>
          <w:szCs w:val="20"/>
        </w:rPr>
        <w:tab/>
      </w:r>
      <w:r w:rsidRPr="002A6C3B">
        <w:rPr>
          <w:rFonts w:ascii="Verdana" w:hAnsi="Verdana"/>
          <w:sz w:val="20"/>
          <w:szCs w:val="20"/>
        </w:rPr>
        <w:tab/>
      </w:r>
      <w:r w:rsidRPr="002A6C3B">
        <w:rPr>
          <w:rFonts w:ascii="Verdana" w:hAnsi="Verdana"/>
          <w:sz w:val="20"/>
          <w:szCs w:val="20"/>
        </w:rPr>
        <w:tab/>
      </w:r>
      <w:r w:rsidRPr="002A6C3B">
        <w:rPr>
          <w:rFonts w:ascii="Verdana" w:hAnsi="Verdana"/>
          <w:sz w:val="20"/>
          <w:szCs w:val="20"/>
        </w:rPr>
        <w:tab/>
      </w:r>
      <w:r w:rsidRPr="002A6C3B">
        <w:rPr>
          <w:rFonts w:ascii="Verdana" w:hAnsi="Verdana"/>
          <w:sz w:val="20"/>
          <w:szCs w:val="20"/>
        </w:rPr>
        <w:tab/>
      </w:r>
    </w:p>
    <w:sectPr w:rsidR="005A4A23" w:rsidRPr="002A6C3B" w:rsidSect="007A6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23" w:rsidRDefault="005A4A23" w:rsidP="00D23FB7">
      <w:pPr>
        <w:spacing w:after="0" w:line="240" w:lineRule="auto"/>
      </w:pPr>
      <w:r>
        <w:separator/>
      </w:r>
    </w:p>
  </w:endnote>
  <w:endnote w:type="continuationSeparator" w:id="0">
    <w:p w:rsidR="005A4A23" w:rsidRDefault="005A4A23" w:rsidP="00D2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23" w:rsidRDefault="005A4A23" w:rsidP="00D23FB7">
      <w:pPr>
        <w:spacing w:after="0" w:line="240" w:lineRule="auto"/>
      </w:pPr>
      <w:r>
        <w:separator/>
      </w:r>
    </w:p>
  </w:footnote>
  <w:footnote w:type="continuationSeparator" w:id="0">
    <w:p w:rsidR="005A4A23" w:rsidRDefault="005A4A23" w:rsidP="00D23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51A22"/>
    <w:multiLevelType w:val="hybridMultilevel"/>
    <w:tmpl w:val="38E639AA"/>
    <w:lvl w:ilvl="0" w:tplc="F59631F2">
      <w:numFmt w:val="bullet"/>
      <w:lvlText w:val="•"/>
      <w:lvlJc w:val="left"/>
      <w:pPr>
        <w:ind w:left="435"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51A"/>
    <w:rsid w:val="000043B7"/>
    <w:rsid w:val="000143D9"/>
    <w:rsid w:val="000165CC"/>
    <w:rsid w:val="0007651D"/>
    <w:rsid w:val="00083C25"/>
    <w:rsid w:val="00127A1C"/>
    <w:rsid w:val="001348C0"/>
    <w:rsid w:val="00142B07"/>
    <w:rsid w:val="001F4B5D"/>
    <w:rsid w:val="002121CC"/>
    <w:rsid w:val="00254282"/>
    <w:rsid w:val="002A6C3B"/>
    <w:rsid w:val="00305688"/>
    <w:rsid w:val="0038294A"/>
    <w:rsid w:val="003E7A84"/>
    <w:rsid w:val="003F7521"/>
    <w:rsid w:val="00420A74"/>
    <w:rsid w:val="004C5A29"/>
    <w:rsid w:val="004D304E"/>
    <w:rsid w:val="0052535F"/>
    <w:rsid w:val="0054102E"/>
    <w:rsid w:val="005879B5"/>
    <w:rsid w:val="005A4A23"/>
    <w:rsid w:val="005C71AA"/>
    <w:rsid w:val="005F7211"/>
    <w:rsid w:val="006614BE"/>
    <w:rsid w:val="006E1197"/>
    <w:rsid w:val="007161CD"/>
    <w:rsid w:val="00744538"/>
    <w:rsid w:val="00774EAF"/>
    <w:rsid w:val="007A6D87"/>
    <w:rsid w:val="007B4274"/>
    <w:rsid w:val="00845A0D"/>
    <w:rsid w:val="00862335"/>
    <w:rsid w:val="008811B5"/>
    <w:rsid w:val="008B535B"/>
    <w:rsid w:val="0090751A"/>
    <w:rsid w:val="009E718E"/>
    <w:rsid w:val="00A321D7"/>
    <w:rsid w:val="00AC7E52"/>
    <w:rsid w:val="00B324AC"/>
    <w:rsid w:val="00B407B5"/>
    <w:rsid w:val="00B54C4C"/>
    <w:rsid w:val="00BF2898"/>
    <w:rsid w:val="00C11913"/>
    <w:rsid w:val="00C27967"/>
    <w:rsid w:val="00CC4E86"/>
    <w:rsid w:val="00CD78EA"/>
    <w:rsid w:val="00CE2CBF"/>
    <w:rsid w:val="00D22566"/>
    <w:rsid w:val="00D23FB7"/>
    <w:rsid w:val="00DF092F"/>
    <w:rsid w:val="00DF7CB1"/>
    <w:rsid w:val="00E00C1D"/>
    <w:rsid w:val="00EC29F1"/>
    <w:rsid w:val="00EE7FBC"/>
    <w:rsid w:val="00EF7CEF"/>
    <w:rsid w:val="00F16EB2"/>
    <w:rsid w:val="00F36ED4"/>
    <w:rsid w:val="00F62949"/>
    <w:rsid w:val="00F673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8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304E"/>
    <w:rPr>
      <w:rFonts w:cs="Times New Roman"/>
      <w:color w:val="0000FF"/>
      <w:u w:val="single"/>
    </w:rPr>
  </w:style>
  <w:style w:type="character" w:styleId="FollowedHyperlink">
    <w:name w:val="FollowedHyperlink"/>
    <w:basedOn w:val="DefaultParagraphFont"/>
    <w:uiPriority w:val="99"/>
    <w:semiHidden/>
    <w:rsid w:val="004D304E"/>
    <w:rPr>
      <w:rFonts w:cs="Times New Roman"/>
      <w:color w:val="800080"/>
      <w:u w:val="single"/>
    </w:rPr>
  </w:style>
  <w:style w:type="paragraph" w:styleId="Header">
    <w:name w:val="header"/>
    <w:basedOn w:val="Normal"/>
    <w:link w:val="HeaderChar"/>
    <w:uiPriority w:val="99"/>
    <w:rsid w:val="00D23F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23FB7"/>
    <w:rPr>
      <w:rFonts w:cs="Times New Roman"/>
    </w:rPr>
  </w:style>
  <w:style w:type="paragraph" w:styleId="Footer">
    <w:name w:val="footer"/>
    <w:basedOn w:val="Normal"/>
    <w:link w:val="FooterChar"/>
    <w:uiPriority w:val="99"/>
    <w:rsid w:val="00D23F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23FB7"/>
    <w:rPr>
      <w:rFonts w:cs="Times New Roman"/>
    </w:rPr>
  </w:style>
  <w:style w:type="character" w:styleId="CommentReference">
    <w:name w:val="annotation reference"/>
    <w:basedOn w:val="DefaultParagraphFont"/>
    <w:uiPriority w:val="99"/>
    <w:semiHidden/>
    <w:rsid w:val="00F62949"/>
    <w:rPr>
      <w:rFonts w:cs="Times New Roman"/>
      <w:sz w:val="16"/>
      <w:szCs w:val="16"/>
    </w:rPr>
  </w:style>
  <w:style w:type="paragraph" w:styleId="CommentText">
    <w:name w:val="annotation text"/>
    <w:basedOn w:val="Normal"/>
    <w:link w:val="CommentTextChar"/>
    <w:uiPriority w:val="99"/>
    <w:semiHidden/>
    <w:rsid w:val="00F629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2949"/>
    <w:rPr>
      <w:rFonts w:cs="Times New Roman"/>
      <w:sz w:val="20"/>
      <w:szCs w:val="20"/>
    </w:rPr>
  </w:style>
  <w:style w:type="paragraph" w:styleId="CommentSubject">
    <w:name w:val="annotation subject"/>
    <w:basedOn w:val="CommentText"/>
    <w:next w:val="CommentText"/>
    <w:link w:val="CommentSubjectChar"/>
    <w:uiPriority w:val="99"/>
    <w:semiHidden/>
    <w:rsid w:val="00F62949"/>
    <w:rPr>
      <w:b/>
      <w:bCs/>
    </w:rPr>
  </w:style>
  <w:style w:type="character" w:customStyle="1" w:styleId="CommentSubjectChar">
    <w:name w:val="Comment Subject Char"/>
    <w:basedOn w:val="CommentTextChar"/>
    <w:link w:val="CommentSubject"/>
    <w:uiPriority w:val="99"/>
    <w:semiHidden/>
    <w:locked/>
    <w:rsid w:val="00F62949"/>
    <w:rPr>
      <w:rFonts w:cs="Times New Roman"/>
      <w:b/>
      <w:bCs/>
      <w:sz w:val="20"/>
      <w:szCs w:val="20"/>
    </w:rPr>
  </w:style>
  <w:style w:type="paragraph" w:styleId="BalloonText">
    <w:name w:val="Balloon Text"/>
    <w:basedOn w:val="Normal"/>
    <w:link w:val="BalloonTextChar"/>
    <w:uiPriority w:val="99"/>
    <w:semiHidden/>
    <w:rsid w:val="00F6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949"/>
    <w:rPr>
      <w:rFonts w:ascii="Tahoma" w:hAnsi="Tahoma" w:cs="Tahoma"/>
      <w:sz w:val="16"/>
      <w:szCs w:val="16"/>
    </w:rPr>
  </w:style>
  <w:style w:type="table" w:styleId="TableGrid">
    <w:name w:val="Table Grid"/>
    <w:basedOn w:val="TableNormal"/>
    <w:uiPriority w:val="99"/>
    <w:rsid w:val="002A6C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A6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08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rsupport@doctorsofb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p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93BAB206</Template>
  <TotalTime>0</TotalTime>
  <Pages>1</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EMR Post-implementation Support</vt:lpstr>
    </vt:vector>
  </TitlesOfParts>
  <Company>Toshiba</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Post-implementation Support</dc:title>
  <dc:creator>Dianne Warnick</dc:creator>
  <cp:lastModifiedBy>Clarke, Jean</cp:lastModifiedBy>
  <cp:revision>2</cp:revision>
  <cp:lastPrinted>2014-07-28T21:01:00Z</cp:lastPrinted>
  <dcterms:created xsi:type="dcterms:W3CDTF">2014-08-11T20:15:00Z</dcterms:created>
  <dcterms:modified xsi:type="dcterms:W3CDTF">2014-08-11T20:15:00Z</dcterms:modified>
</cp:coreProperties>
</file>